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CF53F8" w14:textId="22747822" w:rsidR="00CB509A" w:rsidRPr="004C171F" w:rsidRDefault="003A2A54" w:rsidP="00944ED0">
      <w:pPr>
        <w:pStyle w:val="Otsikko"/>
        <w:rPr>
          <w:b/>
          <w:sz w:val="36"/>
        </w:rPr>
      </w:pPr>
      <w:r w:rsidRPr="004C171F">
        <w:rPr>
          <w:rStyle w:val="normaltextrun"/>
          <w:b/>
          <w:bCs/>
          <w:sz w:val="32"/>
          <w:szCs w:val="52"/>
        </w:rPr>
        <w:t xml:space="preserve">Kiertotalouden </w:t>
      </w:r>
      <w:r w:rsidR="0EF75E32" w:rsidRPr="004C171F">
        <w:rPr>
          <w:rStyle w:val="normaltextrun"/>
          <w:b/>
          <w:bCs/>
          <w:sz w:val="32"/>
          <w:szCs w:val="52"/>
        </w:rPr>
        <w:t xml:space="preserve">kasvuohjelma </w:t>
      </w:r>
      <w:r w:rsidR="00951CAA" w:rsidRPr="004C171F">
        <w:rPr>
          <w:rStyle w:val="normaltextrun"/>
          <w:b/>
          <w:bCs/>
          <w:sz w:val="32"/>
          <w:szCs w:val="52"/>
        </w:rPr>
        <w:t xml:space="preserve">TKI- ja </w:t>
      </w:r>
      <w:r w:rsidR="00FC2C93" w:rsidRPr="004C171F">
        <w:rPr>
          <w:rStyle w:val="normaltextrun"/>
          <w:b/>
          <w:bCs/>
          <w:sz w:val="32"/>
          <w:szCs w:val="52"/>
        </w:rPr>
        <w:t>investointi</w:t>
      </w:r>
      <w:r w:rsidR="003B38F4" w:rsidRPr="004C171F">
        <w:rPr>
          <w:rStyle w:val="normaltextrun"/>
          <w:b/>
          <w:bCs/>
          <w:sz w:val="32"/>
          <w:szCs w:val="52"/>
        </w:rPr>
        <w:t>tukirahoituksen</w:t>
      </w:r>
      <w:r w:rsidR="002618E8">
        <w:rPr>
          <w:rStyle w:val="normaltextrun"/>
          <w:b/>
          <w:bCs/>
          <w:sz w:val="32"/>
          <w:szCs w:val="52"/>
        </w:rPr>
        <w:t xml:space="preserve"> </w:t>
      </w:r>
      <w:r w:rsidR="0EF75E32" w:rsidRPr="004C171F">
        <w:rPr>
          <w:rStyle w:val="normaltextrun"/>
          <w:b/>
          <w:bCs/>
          <w:sz w:val="32"/>
          <w:szCs w:val="52"/>
        </w:rPr>
        <w:t>vahvistamiseksi</w:t>
      </w:r>
    </w:p>
    <w:p w14:paraId="5BD55D95" w14:textId="425B9337" w:rsidR="00CB509A" w:rsidRPr="00CB509A" w:rsidRDefault="00CB509A" w:rsidP="00CB509A">
      <w:pPr>
        <w:spacing w:after="0"/>
        <w:rPr>
          <w:b/>
          <w:bCs/>
        </w:rPr>
      </w:pPr>
    </w:p>
    <w:p w14:paraId="5EEFC0DF" w14:textId="77777777" w:rsidR="00DF0B16" w:rsidRDefault="00DF0B16" w:rsidP="00DF0B16">
      <w:pPr>
        <w:spacing w:after="0"/>
        <w:rPr>
          <w:b/>
          <w:bCs/>
        </w:rPr>
      </w:pPr>
      <w:r>
        <w:rPr>
          <w:b/>
          <w:bCs/>
        </w:rPr>
        <w:t>Luokittelu 1: perustelee virkanäkemystä</w:t>
      </w:r>
    </w:p>
    <w:p w14:paraId="4E2B712F" w14:textId="77777777" w:rsidR="00DF0B16" w:rsidRPr="00CB509A" w:rsidRDefault="00DF0B16" w:rsidP="00CB509A">
      <w:pPr>
        <w:spacing w:after="0"/>
        <w:rPr>
          <w:b/>
          <w:bCs/>
        </w:rPr>
      </w:pPr>
      <w:bookmarkStart w:id="0" w:name="_GoBack"/>
      <w:bookmarkEnd w:id="0"/>
    </w:p>
    <w:p w14:paraId="3629337C" w14:textId="6E9E5906" w:rsidR="00CB509A" w:rsidRDefault="0EF75E32" w:rsidP="0EF75E32">
      <w:pPr>
        <w:pStyle w:val="Luettelokappale"/>
        <w:numPr>
          <w:ilvl w:val="0"/>
          <w:numId w:val="5"/>
        </w:numPr>
        <w:spacing w:after="0"/>
        <w:ind w:left="360"/>
        <w:rPr>
          <w:b/>
          <w:bCs/>
          <w:color w:val="000000" w:themeColor="text1"/>
        </w:rPr>
      </w:pPr>
      <w:r w:rsidRPr="0EF75E32">
        <w:rPr>
          <w:b/>
          <w:bCs/>
          <w:color w:val="000000" w:themeColor="text1"/>
        </w:rPr>
        <w:t>Tavoite</w:t>
      </w:r>
    </w:p>
    <w:p w14:paraId="4BCA2F3E" w14:textId="3A011EC7" w:rsidR="00944ED0" w:rsidRDefault="00944ED0" w:rsidP="00944ED0">
      <w:pPr>
        <w:spacing w:after="0"/>
        <w:rPr>
          <w:b/>
          <w:bCs/>
          <w:color w:val="000000" w:themeColor="text1"/>
        </w:rPr>
      </w:pPr>
    </w:p>
    <w:p w14:paraId="695C7BA3" w14:textId="601E8D0C" w:rsidR="00F2462A" w:rsidRDefault="003A2A54" w:rsidP="0EF75E32">
      <w:pPr>
        <w:spacing w:after="0"/>
        <w:rPr>
          <w:rStyle w:val="normaltextrun"/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Kiertotalouden</w:t>
      </w:r>
      <w:r w:rsidR="0EF75E32" w:rsidRPr="00F2462A">
        <w:rPr>
          <w:rStyle w:val="normaltextrun"/>
          <w:rFonts w:ascii="Calibri" w:hAnsi="Calibri" w:cs="Calibri"/>
        </w:rPr>
        <w:t xml:space="preserve"> kasvuohjelma</w:t>
      </w:r>
      <w:r w:rsidR="003B38F4">
        <w:rPr>
          <w:rStyle w:val="normaltextrun"/>
          <w:rFonts w:ascii="Calibri" w:hAnsi="Calibri" w:cs="Calibri"/>
        </w:rPr>
        <w:t xml:space="preserve">lla </w:t>
      </w:r>
      <w:r w:rsidR="00F2462A" w:rsidRPr="00F2462A">
        <w:rPr>
          <w:rStyle w:val="normaltextrun"/>
          <w:rFonts w:ascii="Calibri" w:hAnsi="Calibri" w:cs="Calibri"/>
        </w:rPr>
        <w:t>vahvistetaan</w:t>
      </w:r>
      <w:r w:rsidR="003B38F4">
        <w:rPr>
          <w:rStyle w:val="normaltextrun"/>
          <w:rFonts w:ascii="Calibri" w:hAnsi="Calibri" w:cs="Calibri"/>
        </w:rPr>
        <w:t xml:space="preserve"> </w:t>
      </w:r>
      <w:r w:rsidR="003B38F4" w:rsidRPr="00C34962">
        <w:rPr>
          <w:rStyle w:val="normaltextrun"/>
          <w:rFonts w:ascii="Calibri" w:hAnsi="Calibri" w:cs="Calibri"/>
        </w:rPr>
        <w:t>TKI-rahoitusta</w:t>
      </w:r>
      <w:r w:rsidR="003B38F4">
        <w:rPr>
          <w:rStyle w:val="normaltextrun"/>
          <w:rFonts w:ascii="Calibri" w:hAnsi="Calibri" w:cs="Calibri"/>
        </w:rPr>
        <w:t xml:space="preserve"> sekä</w:t>
      </w:r>
      <w:r w:rsidR="00F2462A" w:rsidRPr="00F2462A">
        <w:rPr>
          <w:rStyle w:val="normaltextrun"/>
          <w:rFonts w:ascii="Calibri" w:hAnsi="Calibri" w:cs="Calibri"/>
        </w:rPr>
        <w:t xml:space="preserve"> </w:t>
      </w:r>
      <w:r w:rsidR="00F2462A" w:rsidRPr="00F2462A">
        <w:rPr>
          <w:rStyle w:val="scxw229497755"/>
          <w:color w:val="000000" w:themeColor="text1"/>
        </w:rPr>
        <w:t>investointituki</w:t>
      </w:r>
      <w:r w:rsidR="00FC2C93">
        <w:rPr>
          <w:rStyle w:val="scxw229497755"/>
          <w:color w:val="000000" w:themeColor="text1"/>
        </w:rPr>
        <w:t>a</w:t>
      </w:r>
      <w:r w:rsidR="00F2462A">
        <w:rPr>
          <w:rStyle w:val="scxw229497755"/>
          <w:color w:val="000000" w:themeColor="text1"/>
        </w:rPr>
        <w:t xml:space="preserve"> kiertotaloutta</w:t>
      </w:r>
      <w:r w:rsidR="008715A2">
        <w:rPr>
          <w:rStyle w:val="scxw229497755"/>
          <w:color w:val="000000" w:themeColor="text1"/>
        </w:rPr>
        <w:t xml:space="preserve"> ja luonnonvarojen kestävää käyttöä</w:t>
      </w:r>
      <w:r w:rsidR="00F2462A">
        <w:rPr>
          <w:rStyle w:val="scxw229497755"/>
          <w:color w:val="000000" w:themeColor="text1"/>
        </w:rPr>
        <w:t xml:space="preserve"> edistäville</w:t>
      </w:r>
      <w:r w:rsidR="00F2462A" w:rsidRPr="00F2462A">
        <w:rPr>
          <w:rStyle w:val="scxw229497755"/>
          <w:color w:val="000000" w:themeColor="text1"/>
        </w:rPr>
        <w:t xml:space="preserve"> pilotti- ja demo</w:t>
      </w:r>
      <w:r w:rsidR="00F2462A">
        <w:rPr>
          <w:rStyle w:val="scxw229497755"/>
          <w:color w:val="000000" w:themeColor="text1"/>
        </w:rPr>
        <w:t>nstraatio</w:t>
      </w:r>
      <w:r w:rsidR="00F2462A" w:rsidRPr="00F2462A">
        <w:rPr>
          <w:rStyle w:val="scxw229497755"/>
          <w:color w:val="000000" w:themeColor="text1"/>
        </w:rPr>
        <w:t>hankkeille sekä ensimmäisille kaupallisen mittakaavan hankkeille.</w:t>
      </w:r>
      <w:r w:rsidR="00F2462A">
        <w:rPr>
          <w:rStyle w:val="normaltextrun"/>
          <w:rFonts w:ascii="Calibri" w:hAnsi="Calibri" w:cs="Calibri"/>
        </w:rPr>
        <w:t xml:space="preserve"> </w:t>
      </w:r>
      <w:r w:rsidR="003E18C9">
        <w:rPr>
          <w:rStyle w:val="normaltextrun"/>
          <w:rFonts w:ascii="Calibri" w:hAnsi="Calibri" w:cs="Calibri"/>
        </w:rPr>
        <w:t>Tavoitteena on kohdentaa</w:t>
      </w:r>
      <w:r w:rsidR="00FC2C93">
        <w:rPr>
          <w:rStyle w:val="normaltextrun"/>
          <w:rFonts w:ascii="Calibri" w:hAnsi="Calibri" w:cs="Calibri"/>
        </w:rPr>
        <w:t xml:space="preserve"> investointi</w:t>
      </w:r>
      <w:r w:rsidR="003E18C9">
        <w:rPr>
          <w:rStyle w:val="normaltextrun"/>
          <w:rFonts w:ascii="Calibri" w:hAnsi="Calibri" w:cs="Calibri"/>
        </w:rPr>
        <w:t>tuk</w:t>
      </w:r>
      <w:r w:rsidR="00573916">
        <w:rPr>
          <w:rStyle w:val="normaltextrun"/>
          <w:rFonts w:ascii="Calibri" w:hAnsi="Calibri" w:cs="Calibri"/>
        </w:rPr>
        <w:t>ea</w:t>
      </w:r>
      <w:r w:rsidR="003E18C9">
        <w:rPr>
          <w:rStyle w:val="normaltextrun"/>
          <w:rFonts w:ascii="Calibri" w:hAnsi="Calibri" w:cs="Calibri"/>
        </w:rPr>
        <w:t xml:space="preserve"> </w:t>
      </w:r>
      <w:r w:rsidR="00F2462A">
        <w:rPr>
          <w:rStyle w:val="normaltextrun"/>
          <w:rFonts w:ascii="Calibri" w:hAnsi="Calibri" w:cs="Calibri"/>
        </w:rPr>
        <w:t>erityisesti</w:t>
      </w:r>
      <w:r w:rsidR="00086049">
        <w:rPr>
          <w:rStyle w:val="normaltextrun"/>
          <w:rFonts w:ascii="Calibri" w:hAnsi="Calibri" w:cs="Calibri"/>
        </w:rPr>
        <w:t xml:space="preserve"> lupaaville </w:t>
      </w:r>
      <w:proofErr w:type="spellStart"/>
      <w:r w:rsidR="00086049">
        <w:rPr>
          <w:rStyle w:val="normaltextrun"/>
          <w:rFonts w:ascii="Calibri" w:hAnsi="Calibri" w:cs="Calibri"/>
        </w:rPr>
        <w:t>startup</w:t>
      </w:r>
      <w:proofErr w:type="spellEnd"/>
      <w:r w:rsidR="00086049">
        <w:rPr>
          <w:rStyle w:val="normaltextrun"/>
          <w:rFonts w:ascii="Calibri" w:hAnsi="Calibri" w:cs="Calibri"/>
        </w:rPr>
        <w:t>- ja pk-yrityksille, joissa kasvu</w:t>
      </w:r>
      <w:r w:rsidR="003E18C9">
        <w:rPr>
          <w:rStyle w:val="normaltextrun"/>
          <w:rFonts w:ascii="Calibri" w:hAnsi="Calibri" w:cs="Calibri"/>
        </w:rPr>
        <w:t xml:space="preserve">loikan </w:t>
      </w:r>
      <w:r w:rsidR="00086049">
        <w:rPr>
          <w:rStyle w:val="normaltextrun"/>
          <w:rFonts w:ascii="Calibri" w:hAnsi="Calibri" w:cs="Calibri"/>
        </w:rPr>
        <w:t>edellyttämät</w:t>
      </w:r>
      <w:r w:rsidR="00DD4960">
        <w:rPr>
          <w:rStyle w:val="normaltextrun"/>
          <w:rFonts w:ascii="Calibri" w:hAnsi="Calibri" w:cs="Calibri"/>
        </w:rPr>
        <w:t xml:space="preserve"> laitosinvestointien ja laitteistohankintojen pääomatarpeet</w:t>
      </w:r>
      <w:r w:rsidR="00086049">
        <w:rPr>
          <w:rStyle w:val="normaltextrun"/>
          <w:rFonts w:ascii="Calibri" w:hAnsi="Calibri" w:cs="Calibri"/>
        </w:rPr>
        <w:t xml:space="preserve"> ovat yrityksen kokoon nähden suuria ja </w:t>
      </w:r>
      <w:r w:rsidR="00573916">
        <w:rPr>
          <w:rStyle w:val="normaltextrun"/>
          <w:rFonts w:ascii="Calibri" w:hAnsi="Calibri" w:cs="Calibri"/>
        </w:rPr>
        <w:t>joihin</w:t>
      </w:r>
      <w:r w:rsidR="00086049">
        <w:rPr>
          <w:rStyle w:val="normaltextrun"/>
          <w:rFonts w:ascii="Calibri" w:hAnsi="Calibri" w:cs="Calibri"/>
        </w:rPr>
        <w:t xml:space="preserve"> liittyy vielä paljon teknologiariskiä. </w:t>
      </w:r>
    </w:p>
    <w:p w14:paraId="6445E627" w14:textId="6955B2C9" w:rsidR="00CC6134" w:rsidRDefault="00CC6134" w:rsidP="00944ED0">
      <w:pPr>
        <w:spacing w:after="0"/>
        <w:rPr>
          <w:rStyle w:val="normaltextrun"/>
          <w:rFonts w:ascii="Calibri" w:hAnsi="Calibri" w:cs="Calibri"/>
        </w:rPr>
      </w:pPr>
    </w:p>
    <w:p w14:paraId="291BBFAB" w14:textId="52E08DB3" w:rsidR="008715A2" w:rsidRPr="00B11B0E" w:rsidRDefault="0EF75E32" w:rsidP="0EF75E32">
      <w:pPr>
        <w:spacing w:after="0"/>
        <w:rPr>
          <w:rStyle w:val="normaltextrun"/>
          <w:rFonts w:ascii="Calibri" w:hAnsi="Calibri" w:cs="Calibri"/>
          <w:color w:val="000000" w:themeColor="text1"/>
          <w:highlight w:val="yellow"/>
        </w:rPr>
      </w:pPr>
      <w:r w:rsidRPr="0EF75E32">
        <w:rPr>
          <w:rStyle w:val="normaltextrun"/>
          <w:rFonts w:ascii="Calibri" w:hAnsi="Calibri" w:cs="Calibri"/>
        </w:rPr>
        <w:t>Suuntaamalla </w:t>
      </w:r>
      <w:r w:rsidR="003B38F4" w:rsidRPr="00C34962">
        <w:rPr>
          <w:rStyle w:val="normaltextrun"/>
          <w:rFonts w:ascii="Calibri" w:hAnsi="Calibri" w:cs="Calibri"/>
        </w:rPr>
        <w:t>TKI-</w:t>
      </w:r>
      <w:r w:rsidR="003B38F4">
        <w:rPr>
          <w:rStyle w:val="normaltextrun"/>
          <w:rFonts w:ascii="Calibri" w:hAnsi="Calibri" w:cs="Calibri"/>
        </w:rPr>
        <w:t xml:space="preserve"> ja </w:t>
      </w:r>
      <w:r w:rsidR="00086049">
        <w:rPr>
          <w:rStyle w:val="normaltextrun"/>
          <w:rFonts w:ascii="Calibri" w:hAnsi="Calibri" w:cs="Calibri"/>
        </w:rPr>
        <w:t>investointituki</w:t>
      </w:r>
      <w:r w:rsidRPr="0EF75E32">
        <w:rPr>
          <w:rStyle w:val="normaltextrun"/>
          <w:rFonts w:ascii="Calibri" w:hAnsi="Calibri" w:cs="Calibri"/>
        </w:rPr>
        <w:t xml:space="preserve">rahoitusta hiilineutraalin kiertotalouden </w:t>
      </w:r>
      <w:r w:rsidR="008715A2">
        <w:rPr>
          <w:rStyle w:val="normaltextrun"/>
          <w:rFonts w:ascii="Calibri" w:hAnsi="Calibri" w:cs="Calibri"/>
        </w:rPr>
        <w:t xml:space="preserve">keskeisiin muutosalueisiin ja </w:t>
      </w:r>
      <w:r w:rsidRPr="0EF75E32">
        <w:rPr>
          <w:rStyle w:val="normaltextrun"/>
          <w:rFonts w:ascii="Calibri" w:hAnsi="Calibri" w:cs="Calibri"/>
        </w:rPr>
        <w:t>innovatiivisiin hankkeisiin vahvistamme</w:t>
      </w:r>
      <w:r w:rsidR="008715A2">
        <w:rPr>
          <w:rStyle w:val="normaltextrun"/>
          <w:rFonts w:ascii="Calibri" w:hAnsi="Calibri" w:cs="Calibri"/>
        </w:rPr>
        <w:t xml:space="preserve"> luonnonvarojen tehokkaampaan hyödyntämiseen perustuvaa</w:t>
      </w:r>
      <w:r w:rsidRPr="0EF75E32">
        <w:rPr>
          <w:rStyle w:val="normaltextrun"/>
          <w:rFonts w:ascii="Calibri" w:hAnsi="Calibri" w:cs="Calibri"/>
        </w:rPr>
        <w:t xml:space="preserve"> kestävää kasvua sekä </w:t>
      </w:r>
      <w:r w:rsidR="008715A2">
        <w:rPr>
          <w:rStyle w:val="normaltextrun"/>
          <w:rFonts w:ascii="Calibri" w:hAnsi="Calibri" w:cs="Calibri"/>
        </w:rPr>
        <w:t xml:space="preserve">Suomen </w:t>
      </w:r>
      <w:r w:rsidRPr="0EF75E32">
        <w:rPr>
          <w:rStyle w:val="normaltextrun"/>
          <w:rFonts w:ascii="Calibri" w:hAnsi="Calibri" w:cs="Calibri"/>
        </w:rPr>
        <w:t>strategista energia- ja materiaaliomavaraisuutta. </w:t>
      </w:r>
      <w:r w:rsidR="008715A2" w:rsidRPr="008715A2">
        <w:rPr>
          <w:rStyle w:val="normaltextrun"/>
          <w:rFonts w:ascii="Calibri" w:hAnsi="Calibri" w:cs="Calibri"/>
          <w:color w:val="000000" w:themeColor="text1"/>
        </w:rPr>
        <w:t xml:space="preserve">Tavoitteena on </w:t>
      </w:r>
      <w:r w:rsidR="00EC4C96">
        <w:rPr>
          <w:rStyle w:val="normaltextrun"/>
          <w:rFonts w:ascii="Calibri" w:hAnsi="Calibri" w:cs="Calibri"/>
          <w:color w:val="000000" w:themeColor="text1"/>
        </w:rPr>
        <w:t xml:space="preserve">vahvistaa </w:t>
      </w:r>
      <w:r w:rsidR="00EC4C96">
        <w:rPr>
          <w:rStyle w:val="scxw229497755"/>
        </w:rPr>
        <w:t>suomalaista kiertotalousliiketoimintaa</w:t>
      </w:r>
      <w:r w:rsidR="00D66AFA">
        <w:rPr>
          <w:rStyle w:val="scxw229497755"/>
        </w:rPr>
        <w:t xml:space="preserve"> </w:t>
      </w:r>
      <w:r w:rsidR="008715A2" w:rsidRPr="008715A2">
        <w:rPr>
          <w:rStyle w:val="scxw229497755"/>
        </w:rPr>
        <w:t xml:space="preserve">ja </w:t>
      </w:r>
      <w:r w:rsidR="00D66AFA">
        <w:rPr>
          <w:rStyle w:val="scxw229497755"/>
        </w:rPr>
        <w:t>siihen liittyvä</w:t>
      </w:r>
      <w:r w:rsidR="00EC4C96">
        <w:rPr>
          <w:rStyle w:val="scxw229497755"/>
        </w:rPr>
        <w:t>ä</w:t>
      </w:r>
      <w:r w:rsidR="00D66AFA">
        <w:rPr>
          <w:rStyle w:val="scxw229497755"/>
        </w:rPr>
        <w:t xml:space="preserve"> </w:t>
      </w:r>
      <w:r w:rsidR="008715A2" w:rsidRPr="008715A2">
        <w:rPr>
          <w:rStyle w:val="scxw229497755"/>
        </w:rPr>
        <w:t>teknolo</w:t>
      </w:r>
      <w:r w:rsidR="00EC4C96">
        <w:rPr>
          <w:rStyle w:val="scxw229497755"/>
        </w:rPr>
        <w:t>giavientiä sekä liiketoiminnan uudistumista</w:t>
      </w:r>
      <w:r w:rsidR="008715A2" w:rsidRPr="008715A2">
        <w:rPr>
          <w:rStyle w:val="scxw229497755"/>
        </w:rPr>
        <w:t xml:space="preserve"> kohti hiilineutraalisuutta ja resurssitehokkuutta.</w:t>
      </w:r>
    </w:p>
    <w:p w14:paraId="5AE588A3" w14:textId="77777777" w:rsidR="00944ED0" w:rsidRDefault="00944ED0" w:rsidP="00944ED0">
      <w:pPr>
        <w:spacing w:after="0"/>
        <w:rPr>
          <w:rStyle w:val="normaltextrun"/>
          <w:rFonts w:ascii="Calibri" w:hAnsi="Calibri" w:cs="Calibri"/>
        </w:rPr>
      </w:pPr>
    </w:p>
    <w:p w14:paraId="1A73D70F" w14:textId="62B651D6" w:rsidR="003E18C9" w:rsidRDefault="001C7125" w:rsidP="00944ED0">
      <w:pPr>
        <w:spacing w:after="0"/>
        <w:rPr>
          <w:rStyle w:val="scxw229497755"/>
        </w:rPr>
      </w:pPr>
      <w:r>
        <w:rPr>
          <w:rStyle w:val="normaltextrun"/>
          <w:rFonts w:ascii="Calibri" w:hAnsi="Calibri" w:cs="Calibri"/>
        </w:rPr>
        <w:t>Kiertotalouden</w:t>
      </w:r>
      <w:r w:rsidR="009A715D">
        <w:rPr>
          <w:rStyle w:val="normaltextrun"/>
          <w:rFonts w:ascii="Calibri" w:hAnsi="Calibri" w:cs="Calibri"/>
        </w:rPr>
        <w:t xml:space="preserve"> kasvuohjelmaa </w:t>
      </w:r>
      <w:r w:rsidR="00086049" w:rsidRPr="00DD4960">
        <w:rPr>
          <w:rStyle w:val="normaltextrun"/>
          <w:rFonts w:ascii="Calibri" w:hAnsi="Calibri" w:cs="Calibri"/>
        </w:rPr>
        <w:t xml:space="preserve">tukee tavoite sitoa </w:t>
      </w:r>
      <w:r w:rsidR="0EF75E32" w:rsidRPr="00DD4960">
        <w:rPr>
          <w:rStyle w:val="normaltextrun"/>
          <w:rFonts w:ascii="Calibri" w:hAnsi="Calibri" w:cs="Calibri"/>
        </w:rPr>
        <w:t xml:space="preserve">vähintään 2 </w:t>
      </w:r>
      <w:r w:rsidR="0EF75E32" w:rsidRPr="00DD4960">
        <w:rPr>
          <w:rStyle w:val="normaltextrun"/>
        </w:rPr>
        <w:t>% </w:t>
      </w:r>
      <w:proofErr w:type="spellStart"/>
      <w:r w:rsidR="0EF75E32" w:rsidRPr="00DD4960">
        <w:rPr>
          <w:rStyle w:val="spellingerror"/>
        </w:rPr>
        <w:t>BKT:sta</w:t>
      </w:r>
      <w:proofErr w:type="spellEnd"/>
      <w:r w:rsidR="0EF75E32" w:rsidRPr="00DD4960">
        <w:rPr>
          <w:rStyle w:val="normaltextrun"/>
        </w:rPr>
        <w:t xml:space="preserve"> eli puolet parlamentaarisen TKI-työryhmän ehdottamista TKI-varoista vihreän </w:t>
      </w:r>
      <w:r w:rsidR="009A715D">
        <w:rPr>
          <w:rStyle w:val="normaltextrun"/>
        </w:rPr>
        <w:t>siirtymän ja kiertotalouden </w:t>
      </w:r>
      <w:r w:rsidR="0EF75E32" w:rsidRPr="00DD4960">
        <w:rPr>
          <w:rStyle w:val="normaltextrun"/>
        </w:rPr>
        <w:t>teemoihin.</w:t>
      </w:r>
      <w:r w:rsidR="0EF75E32" w:rsidRPr="0EF75E32">
        <w:rPr>
          <w:rStyle w:val="scxw229497755"/>
        </w:rPr>
        <w:t> </w:t>
      </w:r>
    </w:p>
    <w:p w14:paraId="5AD1936D" w14:textId="2E2241F4" w:rsidR="003E18C9" w:rsidRDefault="003E18C9" w:rsidP="00944ED0">
      <w:pPr>
        <w:spacing w:after="0"/>
        <w:rPr>
          <w:rStyle w:val="scxw229497755"/>
        </w:rPr>
      </w:pPr>
    </w:p>
    <w:p w14:paraId="2E2DFB5D" w14:textId="14907238" w:rsidR="00A263F3" w:rsidRPr="004526CF" w:rsidRDefault="0EF75E32" w:rsidP="0EF75E32">
      <w:pPr>
        <w:pStyle w:val="Luettelokappale"/>
        <w:numPr>
          <w:ilvl w:val="0"/>
          <w:numId w:val="5"/>
        </w:numPr>
        <w:spacing w:after="0"/>
        <w:ind w:left="360"/>
        <w:rPr>
          <w:b/>
          <w:bCs/>
          <w:color w:val="000000" w:themeColor="text1"/>
        </w:rPr>
      </w:pPr>
      <w:r w:rsidRPr="0EF75E32">
        <w:rPr>
          <w:b/>
          <w:bCs/>
          <w:color w:val="000000" w:themeColor="text1"/>
        </w:rPr>
        <w:t xml:space="preserve">Tausta ja kytkentä muihin politiikkatoimiin </w:t>
      </w:r>
      <w:r w:rsidR="00CB509A">
        <w:br/>
      </w:r>
    </w:p>
    <w:p w14:paraId="5514EA79" w14:textId="04856F35" w:rsidR="00DD4960" w:rsidRDefault="00954272" w:rsidP="0EF75E32">
      <w:pPr>
        <w:spacing w:after="0"/>
      </w:pPr>
      <w:r>
        <w:t xml:space="preserve">Kiertotaloudella muutetaan perinteisiä kulutus- ja tuotantotapoja resurssiviisaammiksi ja tehokkaammiksi arvoketjun kaikissa vaiheissa, jotta </w:t>
      </w:r>
      <w:r w:rsidR="00DA550E">
        <w:t>kulutus ja tuotanto mahtuisivat maapallon kantokyvyn rajoihin.</w:t>
      </w:r>
      <w:r>
        <w:t xml:space="preserve"> </w:t>
      </w:r>
      <w:r w:rsidR="0EF75E32" w:rsidRPr="00DD4960">
        <w:rPr>
          <w:rStyle w:val="normaltextrun"/>
          <w:rFonts w:ascii="Calibri" w:hAnsi="Calibri" w:cs="Calibri"/>
        </w:rPr>
        <w:t xml:space="preserve">Kiertotalousmurros </w:t>
      </w:r>
      <w:r w:rsidR="0EF75E32">
        <w:t xml:space="preserve">edellyttää </w:t>
      </w:r>
      <w:r>
        <w:t xml:space="preserve">merkittäviä </w:t>
      </w:r>
      <w:r w:rsidR="0EF75E32">
        <w:t xml:space="preserve">toimintatapamuutoksia ja investointeja eri toimialoilla sekä kunnissa ja alueilla. </w:t>
      </w:r>
      <w:r w:rsidR="00DA550E">
        <w:t>Siirtymä k</w:t>
      </w:r>
      <w:r>
        <w:t>iertotalouden liiketoimintamalleihin</w:t>
      </w:r>
      <w:r w:rsidR="00FC2C93">
        <w:rPr>
          <w:rStyle w:val="Alaviitteenviite"/>
        </w:rPr>
        <w:footnoteReference w:id="2"/>
      </w:r>
      <w:r>
        <w:t xml:space="preserve"> on keskeinen osa vihreää siirtymää energiamurroksen ohella.</w:t>
      </w:r>
      <w:r w:rsidR="00705108">
        <w:t xml:space="preserve"> Indikaattorien perusteella kiertotalous Suomessa etenee kuitenkin hitaasti</w:t>
      </w:r>
      <w:r w:rsidR="00705108">
        <w:rPr>
          <w:rStyle w:val="Alaviitteenviite"/>
        </w:rPr>
        <w:footnoteReference w:id="3"/>
      </w:r>
      <w:r w:rsidR="00705108">
        <w:t xml:space="preserve">. </w:t>
      </w:r>
    </w:p>
    <w:p w14:paraId="1F063203" w14:textId="09CD79DD" w:rsidR="00DD4960" w:rsidRDefault="00DD4960" w:rsidP="0EF75E32">
      <w:pPr>
        <w:spacing w:after="0"/>
      </w:pPr>
    </w:p>
    <w:p w14:paraId="2AC8CCE8" w14:textId="78C4A008" w:rsidR="000F7A32" w:rsidRPr="000F7A32" w:rsidRDefault="000F7A32" w:rsidP="0EF75E32">
      <w:pPr>
        <w:spacing w:after="0"/>
        <w:rPr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K</w:t>
      </w:r>
      <w:r w:rsidRPr="000F7A32">
        <w:rPr>
          <w:rStyle w:val="normaltextrun"/>
          <w:rFonts w:ascii="Calibri" w:hAnsi="Calibri" w:cs="Calibri"/>
        </w:rPr>
        <w:t>iertotalousohjelma</w:t>
      </w:r>
      <w:r>
        <w:rPr>
          <w:rStyle w:val="Alaviitteenviite"/>
        </w:rPr>
        <w:footnoteReference w:id="4"/>
      </w:r>
      <w:r w:rsidRPr="000F7A32">
        <w:rPr>
          <w:rStyle w:val="normaltextrun"/>
          <w:rFonts w:ascii="Calibri" w:hAnsi="Calibri" w:cs="Calibri"/>
        </w:rPr>
        <w:t xml:space="preserve"> </w:t>
      </w:r>
      <w:r>
        <w:rPr>
          <w:rStyle w:val="normaltextrun"/>
          <w:rFonts w:ascii="Calibri" w:hAnsi="Calibri" w:cs="Calibri"/>
        </w:rPr>
        <w:t xml:space="preserve">asettaa Suomelle ensimmäiset tavoitteet luonnonvarojen kestävälle käytölle. Ohjelman toimista Kiertotalouden </w:t>
      </w:r>
      <w:proofErr w:type="spellStart"/>
      <w:r>
        <w:rPr>
          <w:rStyle w:val="normaltextrun"/>
          <w:rFonts w:ascii="Calibri" w:hAnsi="Calibri" w:cs="Calibri"/>
        </w:rPr>
        <w:t>green</w:t>
      </w:r>
      <w:proofErr w:type="spellEnd"/>
      <w:r>
        <w:rPr>
          <w:rStyle w:val="normaltextrun"/>
          <w:rFonts w:ascii="Calibri" w:hAnsi="Calibri" w:cs="Calibri"/>
        </w:rPr>
        <w:t xml:space="preserve"> </w:t>
      </w:r>
      <w:proofErr w:type="spellStart"/>
      <w:r>
        <w:rPr>
          <w:rStyle w:val="normaltextrun"/>
          <w:rFonts w:ascii="Calibri" w:hAnsi="Calibri" w:cs="Calibri"/>
        </w:rPr>
        <w:t>deal</w:t>
      </w:r>
      <w:proofErr w:type="spellEnd"/>
      <w:r>
        <w:rPr>
          <w:rStyle w:val="normaltextrun"/>
          <w:rFonts w:ascii="Calibri" w:hAnsi="Calibri" w:cs="Calibri"/>
        </w:rPr>
        <w:t xml:space="preserve"> -prosessissa</w:t>
      </w:r>
      <w:r>
        <w:rPr>
          <w:rStyle w:val="Alaviitteenviite"/>
          <w:rFonts w:ascii="Calibri" w:hAnsi="Calibri" w:cs="Calibri"/>
        </w:rPr>
        <w:footnoteReference w:id="5"/>
      </w:r>
      <w:r>
        <w:rPr>
          <w:rStyle w:val="normaltextrun"/>
          <w:rFonts w:ascii="Calibri" w:hAnsi="Calibri" w:cs="Calibri"/>
        </w:rPr>
        <w:t xml:space="preserve"> tunnistetaan tutkimuslaitosten (Syke, VTT, Luke, GTK, Aalto) ja lähes 90 sidosryhmän kanssa vaikuttavimmat kiertotaloustoimet, joihin yhdessä sitoudutaan. Kiertotalous-Suomi -osaamiskeskus</w:t>
      </w:r>
      <w:r>
        <w:rPr>
          <w:rStyle w:val="Alaviitteenviite"/>
          <w:rFonts w:ascii="Calibri" w:hAnsi="Calibri" w:cs="Calibri"/>
        </w:rPr>
        <w:footnoteReference w:id="6"/>
      </w:r>
      <w:r>
        <w:rPr>
          <w:rStyle w:val="normaltextrun"/>
          <w:rFonts w:ascii="Calibri" w:hAnsi="Calibri" w:cs="Calibri"/>
        </w:rPr>
        <w:t xml:space="preserve"> on puolestaan </w:t>
      </w:r>
      <w:r w:rsidRPr="000F7A32">
        <w:rPr>
          <w:rStyle w:val="normaltextrun"/>
          <w:rFonts w:ascii="Calibri" w:hAnsi="Calibri" w:cs="Calibri"/>
        </w:rPr>
        <w:t>osaamisen ja tiedon solmukohta, jo</w:t>
      </w:r>
      <w:r>
        <w:rPr>
          <w:rStyle w:val="normaltextrun"/>
          <w:rFonts w:ascii="Calibri" w:hAnsi="Calibri" w:cs="Calibri"/>
        </w:rPr>
        <w:t>n</w:t>
      </w:r>
      <w:r w:rsidRPr="000F7A32">
        <w:rPr>
          <w:rStyle w:val="normaltextrun"/>
          <w:rFonts w:ascii="Calibri" w:hAnsi="Calibri" w:cs="Calibri"/>
        </w:rPr>
        <w:t>ka</w:t>
      </w:r>
      <w:r>
        <w:rPr>
          <w:rStyle w:val="normaltextrun"/>
          <w:rFonts w:ascii="Calibri" w:hAnsi="Calibri" w:cs="Calibri"/>
        </w:rPr>
        <w:t xml:space="preserve"> tavoitteena on mm.</w:t>
      </w:r>
      <w:r w:rsidRPr="000F7A32">
        <w:rPr>
          <w:rStyle w:val="normaltextrun"/>
          <w:rFonts w:ascii="Calibri" w:hAnsi="Calibri" w:cs="Calibri"/>
        </w:rPr>
        <w:t xml:space="preserve"> </w:t>
      </w:r>
      <w:r>
        <w:rPr>
          <w:rStyle w:val="normaltextrun"/>
          <w:rFonts w:ascii="Calibri" w:hAnsi="Calibri" w:cs="Calibri"/>
        </w:rPr>
        <w:t xml:space="preserve">tukea toimialoja, </w:t>
      </w:r>
      <w:r w:rsidRPr="000F7A32">
        <w:rPr>
          <w:rStyle w:val="normaltextrun"/>
          <w:rFonts w:ascii="Calibri" w:hAnsi="Calibri" w:cs="Calibri"/>
        </w:rPr>
        <w:t>y</w:t>
      </w:r>
      <w:r>
        <w:rPr>
          <w:rStyle w:val="normaltextrun"/>
          <w:rFonts w:ascii="Calibri" w:hAnsi="Calibri" w:cs="Calibri"/>
        </w:rPr>
        <w:t>rityksiä, kuntia ja alueita vaikuttavimpien kiertotaloustoimien edistämisessä.</w:t>
      </w:r>
      <w:r w:rsidR="00346A0C">
        <w:rPr>
          <w:rStyle w:val="normaltextrun"/>
          <w:rFonts w:ascii="Calibri" w:hAnsi="Calibri" w:cs="Calibri"/>
        </w:rPr>
        <w:t xml:space="preserve"> </w:t>
      </w:r>
      <w:proofErr w:type="spellStart"/>
      <w:r w:rsidR="00346A0C">
        <w:rPr>
          <w:rStyle w:val="normaltextrun"/>
          <w:rFonts w:ascii="Calibri" w:hAnsi="Calibri" w:cs="Calibri"/>
        </w:rPr>
        <w:t>Circular</w:t>
      </w:r>
      <w:proofErr w:type="spellEnd"/>
      <w:r w:rsidR="00346A0C">
        <w:rPr>
          <w:rStyle w:val="normaltextrun"/>
          <w:rFonts w:ascii="Calibri" w:hAnsi="Calibri" w:cs="Calibri"/>
        </w:rPr>
        <w:t xml:space="preserve"> Design -valmennusohjelma</w:t>
      </w:r>
      <w:r w:rsidR="00346A0C">
        <w:rPr>
          <w:rStyle w:val="Alaviitteenviite"/>
          <w:rFonts w:ascii="Calibri" w:hAnsi="Calibri" w:cs="Calibri"/>
        </w:rPr>
        <w:footnoteReference w:id="7"/>
      </w:r>
      <w:r w:rsidR="00346A0C">
        <w:rPr>
          <w:rStyle w:val="normaltextrun"/>
          <w:rFonts w:ascii="Calibri" w:hAnsi="Calibri" w:cs="Calibri"/>
        </w:rPr>
        <w:t xml:space="preserve"> tukee kiertotalousliiketoiminnan kehittämistä</w:t>
      </w:r>
      <w:r w:rsidR="00346A0C" w:rsidRPr="00346A0C">
        <w:rPr>
          <w:rStyle w:val="normaltextrun"/>
          <w:rFonts w:ascii="Calibri" w:hAnsi="Calibri" w:cs="Calibri"/>
        </w:rPr>
        <w:t xml:space="preserve"> yrityksissä.</w:t>
      </w:r>
      <w:r w:rsidR="00346A0C">
        <w:rPr>
          <w:rStyle w:val="normaltextrun"/>
          <w:rFonts w:ascii="Calibri" w:hAnsi="Calibri" w:cs="Calibri"/>
        </w:rPr>
        <w:t xml:space="preserve"> </w:t>
      </w:r>
    </w:p>
    <w:p w14:paraId="779EE506" w14:textId="77777777" w:rsidR="000F7A32" w:rsidRDefault="000F7A32" w:rsidP="0EF75E32">
      <w:pPr>
        <w:spacing w:after="0"/>
      </w:pPr>
    </w:p>
    <w:p w14:paraId="3FEAEA0D" w14:textId="3EDF0CCE" w:rsidR="00EC4C96" w:rsidRDefault="00DA550E" w:rsidP="00EC4C96">
      <w:pPr>
        <w:spacing w:after="0"/>
        <w:rPr>
          <w:rStyle w:val="scxw229497755"/>
        </w:rPr>
      </w:pPr>
      <w:r>
        <w:t>Kiertotalousmurro</w:t>
      </w:r>
      <w:r w:rsidR="00FC2C93">
        <w:t xml:space="preserve">ksen </w:t>
      </w:r>
      <w:r w:rsidR="00DC2914" w:rsidRPr="00C34962">
        <w:t>TKI-toiminnan</w:t>
      </w:r>
      <w:r w:rsidR="00DC2914">
        <w:t xml:space="preserve"> ja </w:t>
      </w:r>
      <w:r w:rsidR="00963806">
        <w:t>investointien vauhdittamisessa</w:t>
      </w:r>
      <w:r>
        <w:t xml:space="preserve"> j</w:t>
      </w:r>
      <w:r w:rsidR="00EC4C96">
        <w:t xml:space="preserve">ulkisen sektorin </w:t>
      </w:r>
      <w:r w:rsidR="000F7A32">
        <w:t>rahoituksella</w:t>
      </w:r>
      <w:r w:rsidR="00EC4C96">
        <w:t xml:space="preserve"> </w:t>
      </w:r>
      <w:r>
        <w:t>voisi olla</w:t>
      </w:r>
      <w:r w:rsidR="00954272">
        <w:t xml:space="preserve"> merkittävä</w:t>
      </w:r>
      <w:r>
        <w:t>mpi</w:t>
      </w:r>
      <w:r w:rsidR="0EF75E32">
        <w:t xml:space="preserve"> strateginen</w:t>
      </w:r>
      <w:r w:rsidR="00954272">
        <w:t xml:space="preserve"> </w:t>
      </w:r>
      <w:r w:rsidR="0EF75E32">
        <w:t>rooli</w:t>
      </w:r>
      <w:r>
        <w:t xml:space="preserve">. </w:t>
      </w:r>
      <w:r w:rsidR="00346A0C">
        <w:t xml:space="preserve">Roolin vahvistamisessa tulisi hyödyntää edellä mainittuja kiertotalousohjelman työkaluja. </w:t>
      </w:r>
      <w:r w:rsidR="000F7A32">
        <w:t xml:space="preserve">On priorisoitava </w:t>
      </w:r>
      <w:r w:rsidR="00954272">
        <w:t>yritysten</w:t>
      </w:r>
      <w:r w:rsidR="00870A44">
        <w:t xml:space="preserve"> sekä esimerkiksi kuntien</w:t>
      </w:r>
      <w:r w:rsidR="00954272">
        <w:t xml:space="preserve"> välttämätöntä</w:t>
      </w:r>
      <w:r w:rsidR="00DD4960" w:rsidRPr="00DD4960">
        <w:t xml:space="preserve"> siirtymää uusiin, aiempaa kilpailukykyisempiin ja kestävämpiin toimintamalleihin</w:t>
      </w:r>
      <w:r w:rsidR="00563FC7">
        <w:t xml:space="preserve"> mahdollisimman nopeasti</w:t>
      </w:r>
      <w:r w:rsidR="00DD4960" w:rsidRPr="00DD4960">
        <w:t>.</w:t>
      </w:r>
      <w:r w:rsidR="00EC4C96" w:rsidRPr="00EC4C96">
        <w:rPr>
          <w:rStyle w:val="scxw229497755"/>
        </w:rPr>
        <w:t xml:space="preserve"> </w:t>
      </w:r>
    </w:p>
    <w:p w14:paraId="1F30B1BE" w14:textId="2722E250" w:rsidR="00CC6134" w:rsidRPr="00EC4C96" w:rsidRDefault="00CC6134" w:rsidP="00A263F3">
      <w:pPr>
        <w:spacing w:after="0"/>
        <w:rPr>
          <w:rStyle w:val="normaltextrun"/>
        </w:rPr>
      </w:pPr>
    </w:p>
    <w:p w14:paraId="6C074F6B" w14:textId="77777777" w:rsidR="001C7125" w:rsidRDefault="0EF75E32" w:rsidP="0EF75E32">
      <w:pPr>
        <w:spacing w:after="0"/>
        <w:rPr>
          <w:rStyle w:val="normaltextrun"/>
          <w:rFonts w:ascii="Calibri" w:hAnsi="Calibri" w:cs="Calibri"/>
        </w:rPr>
      </w:pPr>
      <w:r w:rsidRPr="0EF75E32">
        <w:rPr>
          <w:rStyle w:val="normaltextrun"/>
          <w:rFonts w:ascii="Calibri" w:hAnsi="Calibri" w:cs="Calibri"/>
        </w:rPr>
        <w:t xml:space="preserve">Kiertotalousratkaisujen </w:t>
      </w:r>
      <w:r w:rsidR="00FC2C93">
        <w:rPr>
          <w:rStyle w:val="normaltextrun"/>
          <w:rFonts w:ascii="Calibri" w:hAnsi="Calibri" w:cs="Calibri"/>
        </w:rPr>
        <w:t>TKI-toimintaa</w:t>
      </w:r>
      <w:r w:rsidRPr="0EF75E32">
        <w:rPr>
          <w:rStyle w:val="normaltextrun"/>
          <w:rFonts w:ascii="Calibri" w:hAnsi="Calibri" w:cs="Calibri"/>
        </w:rPr>
        <w:t xml:space="preserve"> on tuettu m</w:t>
      </w:r>
      <w:r w:rsidR="00FC2C93">
        <w:rPr>
          <w:rStyle w:val="normaltextrun"/>
          <w:rFonts w:ascii="Calibri" w:hAnsi="Calibri" w:cs="Calibri"/>
        </w:rPr>
        <w:t xml:space="preserve">m. </w:t>
      </w:r>
      <w:r w:rsidRPr="0EF75E32">
        <w:rPr>
          <w:rStyle w:val="normaltextrun"/>
          <w:rFonts w:ascii="Calibri" w:hAnsi="Calibri" w:cs="Calibri"/>
        </w:rPr>
        <w:t xml:space="preserve">150 miljoonan euron Business Finlandin </w:t>
      </w:r>
      <w:proofErr w:type="spellStart"/>
      <w:r w:rsidRPr="0EF75E32">
        <w:rPr>
          <w:rStyle w:val="normaltextrun"/>
          <w:rFonts w:ascii="Calibri" w:hAnsi="Calibri" w:cs="Calibri"/>
        </w:rPr>
        <w:t>Bio</w:t>
      </w:r>
      <w:proofErr w:type="spellEnd"/>
      <w:r w:rsidRPr="0EF75E32">
        <w:rPr>
          <w:rStyle w:val="normaltextrun"/>
          <w:rFonts w:ascii="Calibri" w:hAnsi="Calibri" w:cs="Calibri"/>
        </w:rPr>
        <w:t xml:space="preserve"> &amp; </w:t>
      </w:r>
      <w:proofErr w:type="spellStart"/>
      <w:r w:rsidRPr="0EF75E32">
        <w:rPr>
          <w:rStyle w:val="normaltextrun"/>
          <w:rFonts w:ascii="Calibri" w:hAnsi="Calibri" w:cs="Calibri"/>
        </w:rPr>
        <w:t>Circular</w:t>
      </w:r>
      <w:proofErr w:type="spellEnd"/>
      <w:r w:rsidRPr="0EF75E32">
        <w:rPr>
          <w:rStyle w:val="normaltextrun"/>
          <w:rFonts w:ascii="Calibri" w:hAnsi="Calibri" w:cs="Calibri"/>
        </w:rPr>
        <w:t xml:space="preserve"> Finland </w:t>
      </w:r>
      <w:r w:rsidR="000F7A32">
        <w:rPr>
          <w:rStyle w:val="normaltextrun"/>
          <w:rFonts w:ascii="Calibri" w:hAnsi="Calibri" w:cs="Calibri"/>
        </w:rPr>
        <w:t>-</w:t>
      </w:r>
      <w:r w:rsidRPr="0EF75E32">
        <w:rPr>
          <w:rStyle w:val="normaltextrun"/>
          <w:rFonts w:ascii="Calibri" w:hAnsi="Calibri" w:cs="Calibri"/>
        </w:rPr>
        <w:t>ohjelmalla</w:t>
      </w:r>
      <w:r w:rsidR="00FC2C93">
        <w:rPr>
          <w:rStyle w:val="Alaviitteenviite"/>
          <w:rFonts w:ascii="Calibri" w:hAnsi="Calibri" w:cs="Calibri"/>
        </w:rPr>
        <w:footnoteReference w:id="8"/>
      </w:r>
      <w:r w:rsidR="00FC2C93">
        <w:rPr>
          <w:rStyle w:val="normaltextrun"/>
          <w:rFonts w:ascii="Calibri" w:hAnsi="Calibri" w:cs="Calibri"/>
        </w:rPr>
        <w:t xml:space="preserve"> vuosina 2018</w:t>
      </w:r>
      <w:r w:rsidR="003B38F4">
        <w:rPr>
          <w:rStyle w:val="normaltextrun"/>
          <w:rFonts w:ascii="Calibri" w:hAnsi="Calibri" w:cs="Calibri"/>
        </w:rPr>
        <w:t>-</w:t>
      </w:r>
      <w:r w:rsidR="00FC2C93">
        <w:rPr>
          <w:rStyle w:val="normaltextrun"/>
          <w:rFonts w:ascii="Calibri" w:hAnsi="Calibri" w:cs="Calibri"/>
        </w:rPr>
        <w:t xml:space="preserve">2022. Ohjelma </w:t>
      </w:r>
      <w:r w:rsidRPr="0EF75E32">
        <w:rPr>
          <w:rStyle w:val="normaltextrun"/>
          <w:rFonts w:ascii="Calibri" w:hAnsi="Calibri" w:cs="Calibri"/>
        </w:rPr>
        <w:t>on ollut</w:t>
      </w:r>
      <w:r w:rsidR="00FC2C93">
        <w:rPr>
          <w:rStyle w:val="normaltextrun"/>
          <w:rFonts w:ascii="Calibri" w:hAnsi="Calibri" w:cs="Calibri"/>
        </w:rPr>
        <w:t xml:space="preserve"> </w:t>
      </w:r>
      <w:r w:rsidRPr="0EF75E32">
        <w:rPr>
          <w:rStyle w:val="normaltextrun"/>
          <w:rFonts w:ascii="Calibri" w:hAnsi="Calibri" w:cs="Calibri"/>
        </w:rPr>
        <w:t xml:space="preserve">yksi suurimmista ja suosituimmista </w:t>
      </w:r>
      <w:proofErr w:type="spellStart"/>
      <w:r w:rsidRPr="0EF75E32">
        <w:rPr>
          <w:rStyle w:val="normaltextrun"/>
          <w:rFonts w:ascii="Calibri" w:hAnsi="Calibri" w:cs="Calibri"/>
        </w:rPr>
        <w:t>BF:n</w:t>
      </w:r>
      <w:proofErr w:type="spellEnd"/>
      <w:r w:rsidRPr="0EF75E32">
        <w:rPr>
          <w:rStyle w:val="normaltextrun"/>
          <w:rFonts w:ascii="Calibri" w:hAnsi="Calibri" w:cs="Calibri"/>
        </w:rPr>
        <w:t xml:space="preserve"> ohjelmista</w:t>
      </w:r>
      <w:r w:rsidR="00FC2C93">
        <w:rPr>
          <w:rStyle w:val="normaltextrun"/>
          <w:rFonts w:ascii="Calibri" w:hAnsi="Calibri" w:cs="Calibri"/>
        </w:rPr>
        <w:t xml:space="preserve"> viime vuosina, mutta siitä ei myönnetty </w:t>
      </w:r>
      <w:r w:rsidR="009A715D">
        <w:rPr>
          <w:rStyle w:val="normaltextrun"/>
          <w:rFonts w:ascii="Calibri" w:hAnsi="Calibri" w:cs="Calibri"/>
        </w:rPr>
        <w:t>investointi</w:t>
      </w:r>
      <w:r w:rsidR="00FC2C93">
        <w:rPr>
          <w:rStyle w:val="normaltextrun"/>
          <w:rFonts w:ascii="Calibri" w:hAnsi="Calibri" w:cs="Calibri"/>
        </w:rPr>
        <w:t>tukea pilotti- ja demo</w:t>
      </w:r>
      <w:r w:rsidR="009A715D">
        <w:rPr>
          <w:rStyle w:val="normaltextrun"/>
          <w:rFonts w:ascii="Calibri" w:hAnsi="Calibri" w:cs="Calibri"/>
        </w:rPr>
        <w:t>hankkeille</w:t>
      </w:r>
      <w:r w:rsidR="00FC2C93">
        <w:rPr>
          <w:rStyle w:val="normaltextrun"/>
          <w:rFonts w:ascii="Calibri" w:hAnsi="Calibri" w:cs="Calibri"/>
        </w:rPr>
        <w:t>.</w:t>
      </w:r>
      <w:r w:rsidR="009A715D">
        <w:rPr>
          <w:rStyle w:val="normaltextrun"/>
          <w:rFonts w:ascii="Calibri" w:hAnsi="Calibri" w:cs="Calibri"/>
        </w:rPr>
        <w:t xml:space="preserve"> </w:t>
      </w:r>
      <w:r w:rsidR="00FC2C93">
        <w:rPr>
          <w:rStyle w:val="normaltextrun"/>
          <w:rFonts w:ascii="Calibri" w:hAnsi="Calibri" w:cs="Calibri"/>
        </w:rPr>
        <w:t xml:space="preserve"> </w:t>
      </w:r>
    </w:p>
    <w:p w14:paraId="6DA16C51" w14:textId="32215286" w:rsidR="00A812D7" w:rsidRDefault="00346A0C" w:rsidP="0EF75E32">
      <w:pPr>
        <w:spacing w:after="0"/>
        <w:rPr>
          <w:rStyle w:val="normaltextrun"/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br/>
      </w:r>
      <w:r w:rsidR="00A812D7">
        <w:rPr>
          <w:rStyle w:val="normaltextrun"/>
          <w:rFonts w:ascii="Calibri" w:hAnsi="Calibri" w:cs="Calibri"/>
        </w:rPr>
        <w:t>YM rahoittaa kuntien ilmasto- ja kiertotaloushankkeita 1,3 miljoonalla eurolla vuosina 2022-2024</w:t>
      </w:r>
      <w:r w:rsidR="00A812D7">
        <w:rPr>
          <w:rStyle w:val="Alaviitteenviite"/>
          <w:rFonts w:ascii="Calibri" w:hAnsi="Calibri" w:cs="Calibri"/>
        </w:rPr>
        <w:footnoteReference w:id="9"/>
      </w:r>
      <w:r w:rsidR="00A812D7">
        <w:rPr>
          <w:rStyle w:val="normaltextrun"/>
          <w:rFonts w:ascii="Calibri" w:hAnsi="Calibri" w:cs="Calibri"/>
        </w:rPr>
        <w:t>.</w:t>
      </w:r>
    </w:p>
    <w:p w14:paraId="168CC4C4" w14:textId="1F25648D" w:rsidR="00CD759B" w:rsidRDefault="00CD759B" w:rsidP="0EF75E32">
      <w:pPr>
        <w:spacing w:after="0"/>
        <w:rPr>
          <w:rStyle w:val="normaltextrun"/>
          <w:rFonts w:ascii="Calibri" w:hAnsi="Calibri" w:cs="Calibri"/>
        </w:rPr>
      </w:pPr>
    </w:p>
    <w:p w14:paraId="0EF8A7D3" w14:textId="7E14A982" w:rsidR="001A3E58" w:rsidRPr="001A3E58" w:rsidRDefault="001A3E58" w:rsidP="001A3E58">
      <w:pPr>
        <w:spacing w:after="0" w:line="240" w:lineRule="auto"/>
        <w:rPr>
          <w:rStyle w:val="normaltextrun"/>
          <w:iCs/>
        </w:rPr>
      </w:pPr>
      <w:r w:rsidRPr="001A3E58">
        <w:rPr>
          <w:rStyle w:val="normaltextrun"/>
          <w:iCs/>
        </w:rPr>
        <w:t xml:space="preserve">Euroopan aluekehitysrahaston (EAKR) toimintalinjasta 2 kiertotalouden teemoihin suunnataan vuosina 2021-2027 kokonaisuudessaan </w:t>
      </w:r>
      <w:r>
        <w:rPr>
          <w:rStyle w:val="normaltextrun"/>
          <w:iCs/>
          <w:color w:val="000000" w:themeColor="text1"/>
        </w:rPr>
        <w:t>n.</w:t>
      </w:r>
      <w:r w:rsidRPr="001A3E58">
        <w:rPr>
          <w:rStyle w:val="normaltextrun"/>
          <w:iCs/>
          <w:color w:val="000000" w:themeColor="text1"/>
        </w:rPr>
        <w:t xml:space="preserve"> 190 </w:t>
      </w:r>
      <w:r w:rsidRPr="001A3E58">
        <w:rPr>
          <w:rStyle w:val="normaltextrun"/>
          <w:iCs/>
        </w:rPr>
        <w:t>milj. euroa. Rahoitusta myöntävät ELY-keskukset ja maakuntien liitot yritysten ja muiden toimijoiden investointeihin, joiden tuloksena syntyy laajasti hyödynnettäviä kiert</w:t>
      </w:r>
      <w:r>
        <w:rPr>
          <w:rStyle w:val="normaltextrun"/>
          <w:iCs/>
        </w:rPr>
        <w:t>otalouteen liittyviä ratkaisuja. Rahoitusta ei voi hyödyntää</w:t>
      </w:r>
      <w:r w:rsidRPr="001A3E58">
        <w:rPr>
          <w:rStyle w:val="normaltextrun"/>
          <w:iCs/>
        </w:rPr>
        <w:t xml:space="preserve"> </w:t>
      </w:r>
      <w:r>
        <w:rPr>
          <w:rStyle w:val="normaltextrun"/>
          <w:iCs/>
        </w:rPr>
        <w:t>yksittäisten yritysten investointeihin</w:t>
      </w:r>
      <w:r w:rsidRPr="001A3E58">
        <w:rPr>
          <w:rStyle w:val="normaltextrun"/>
          <w:iCs/>
        </w:rPr>
        <w:t xml:space="preserve">. Ohjelmaan sisältyy ympäristöministeriön vastuulla oleva valtakunnallinen kiertotalouden teema, jossa rahoitusta on 11,5 milj. euroa kehittämishankkeisiin. </w:t>
      </w:r>
    </w:p>
    <w:p w14:paraId="788F43AB" w14:textId="6BE2CEC7" w:rsidR="00CD759B" w:rsidRDefault="00CD759B" w:rsidP="0EF75E32">
      <w:pPr>
        <w:spacing w:after="0"/>
        <w:rPr>
          <w:rStyle w:val="normaltextrun"/>
          <w:rFonts w:ascii="Calibri" w:hAnsi="Calibri" w:cs="Calibri"/>
        </w:rPr>
      </w:pPr>
    </w:p>
    <w:p w14:paraId="066B485C" w14:textId="77777777" w:rsidR="00C052D8" w:rsidRDefault="0EF75E32" w:rsidP="0EF75E32">
      <w:pPr>
        <w:spacing w:after="0"/>
        <w:rPr>
          <w:rStyle w:val="normaltextrun"/>
          <w:rFonts w:ascii="Calibri" w:hAnsi="Calibri" w:cs="Calibri"/>
        </w:rPr>
      </w:pPr>
      <w:r w:rsidRPr="0EF75E32">
        <w:rPr>
          <w:rStyle w:val="normaltextrun"/>
          <w:rFonts w:ascii="Calibri" w:hAnsi="Calibri" w:cs="Calibri"/>
        </w:rPr>
        <w:t>Suomen</w:t>
      </w:r>
      <w:r w:rsidR="001828F6">
        <w:rPr>
          <w:rStyle w:val="normaltextrun"/>
          <w:rFonts w:ascii="Calibri" w:hAnsi="Calibri" w:cs="Calibri"/>
        </w:rPr>
        <w:t xml:space="preserve"> kestävän kasvun ohjelmasta (</w:t>
      </w:r>
      <w:r w:rsidRPr="0EF75E32">
        <w:rPr>
          <w:rStyle w:val="normaltextrun"/>
          <w:rFonts w:ascii="Calibri" w:hAnsi="Calibri" w:cs="Calibri"/>
        </w:rPr>
        <w:t>RRF) rahoitetaan keskeist</w:t>
      </w:r>
      <w:r w:rsidR="001828F6">
        <w:rPr>
          <w:rStyle w:val="normaltextrun"/>
          <w:rFonts w:ascii="Calibri" w:hAnsi="Calibri" w:cs="Calibri"/>
        </w:rPr>
        <w:t xml:space="preserve">en materiaalien uudelleenkäyttö- ja kierrätysinvestointeja </w:t>
      </w:r>
      <w:r w:rsidRPr="0EF75E32">
        <w:rPr>
          <w:rStyle w:val="normaltextrun"/>
          <w:rFonts w:ascii="Calibri" w:hAnsi="Calibri" w:cs="Calibri"/>
        </w:rPr>
        <w:t>110 miljoonalla eurolla vuosina 2021-2026</w:t>
      </w:r>
      <w:r w:rsidR="00C052D8">
        <w:rPr>
          <w:rStyle w:val="Alaviitteenviite"/>
          <w:rFonts w:ascii="Calibri" w:hAnsi="Calibri" w:cs="Calibri"/>
        </w:rPr>
        <w:footnoteReference w:id="10"/>
      </w:r>
      <w:r w:rsidRPr="0EF75E32">
        <w:rPr>
          <w:rStyle w:val="normaltextrun"/>
          <w:rFonts w:ascii="Calibri" w:hAnsi="Calibri" w:cs="Calibri"/>
        </w:rPr>
        <w:t xml:space="preserve">. </w:t>
      </w:r>
      <w:r w:rsidR="009A715D">
        <w:rPr>
          <w:rStyle w:val="normaltextrun"/>
          <w:rFonts w:ascii="Calibri" w:hAnsi="Calibri" w:cs="Calibri"/>
        </w:rPr>
        <w:t xml:space="preserve">Investointitukea </w:t>
      </w:r>
      <w:r w:rsidRPr="0EF75E32">
        <w:rPr>
          <w:rStyle w:val="normaltextrun"/>
          <w:rFonts w:ascii="Calibri" w:hAnsi="Calibri" w:cs="Calibri"/>
        </w:rPr>
        <w:t xml:space="preserve">on suunnattu </w:t>
      </w:r>
      <w:r w:rsidR="00C052D8">
        <w:rPr>
          <w:rStyle w:val="normaltextrun"/>
          <w:rFonts w:ascii="Calibri" w:hAnsi="Calibri" w:cs="Calibri"/>
        </w:rPr>
        <w:t xml:space="preserve">etenkin </w:t>
      </w:r>
      <w:r w:rsidR="009A715D">
        <w:rPr>
          <w:rStyle w:val="normaltextrun"/>
          <w:rFonts w:ascii="Calibri" w:hAnsi="Calibri" w:cs="Calibri"/>
        </w:rPr>
        <w:t>ensimmäisiin kaupallisen mittakaavan</w:t>
      </w:r>
      <w:r w:rsidR="001828F6">
        <w:rPr>
          <w:rStyle w:val="normaltextrun"/>
          <w:rFonts w:ascii="Calibri" w:hAnsi="Calibri" w:cs="Calibri"/>
        </w:rPr>
        <w:t>, mutta myös pilotti- ja demolaitoshankkeisiin</w:t>
      </w:r>
      <w:r w:rsidR="009A715D">
        <w:rPr>
          <w:rStyle w:val="normaltextrun"/>
          <w:rFonts w:ascii="Calibri" w:hAnsi="Calibri" w:cs="Calibri"/>
        </w:rPr>
        <w:t>.</w:t>
      </w:r>
      <w:r w:rsidR="00C052D8">
        <w:rPr>
          <w:rStyle w:val="normaltextrun"/>
          <w:rFonts w:ascii="Calibri" w:hAnsi="Calibri" w:cs="Calibri"/>
        </w:rPr>
        <w:t xml:space="preserve"> </w:t>
      </w:r>
    </w:p>
    <w:p w14:paraId="5ABEE486" w14:textId="77777777" w:rsidR="00C052D8" w:rsidRDefault="00C052D8" w:rsidP="0EF75E32">
      <w:pPr>
        <w:spacing w:after="0"/>
        <w:rPr>
          <w:rStyle w:val="normaltextrun"/>
          <w:rFonts w:ascii="Calibri" w:hAnsi="Calibri" w:cs="Calibri"/>
        </w:rPr>
      </w:pPr>
    </w:p>
    <w:p w14:paraId="50A187EC" w14:textId="3EB30E42" w:rsidR="00DA65D6" w:rsidRDefault="00DA65D6" w:rsidP="00DA65D6">
      <w:pPr>
        <w:spacing w:after="0"/>
        <w:rPr>
          <w:rStyle w:val="normaltextrun"/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Kansallisia</w:t>
      </w:r>
      <w:r w:rsidR="000B3179">
        <w:rPr>
          <w:rStyle w:val="normaltextrun"/>
          <w:rFonts w:ascii="Calibri" w:hAnsi="Calibri" w:cs="Calibri"/>
        </w:rPr>
        <w:t xml:space="preserve"> TKI- ja</w:t>
      </w:r>
      <w:r>
        <w:rPr>
          <w:rStyle w:val="normaltextrun"/>
          <w:rFonts w:ascii="Calibri" w:hAnsi="Calibri" w:cs="Calibri"/>
        </w:rPr>
        <w:t xml:space="preserve"> investointitukia kiertotalouden liiketoimintamalleihin siirtymiseksi tarvitaan myös RRF-kauden jälkeen</w:t>
      </w:r>
      <w:r w:rsidRPr="00563FC7">
        <w:rPr>
          <w:rStyle w:val="normaltextrun"/>
          <w:rFonts w:ascii="Calibri" w:hAnsi="Calibri" w:cs="Calibri"/>
        </w:rPr>
        <w:t>.</w:t>
      </w:r>
      <w:r>
        <w:rPr>
          <w:rStyle w:val="normaltextrun"/>
          <w:rFonts w:ascii="Calibri" w:hAnsi="Calibri" w:cs="Calibri"/>
        </w:rPr>
        <w:t xml:space="preserve"> </w:t>
      </w:r>
      <w:r w:rsidR="00CD759B">
        <w:rPr>
          <w:rStyle w:val="normaltextrun"/>
          <w:rFonts w:ascii="Calibri" w:hAnsi="Calibri" w:cs="Calibri"/>
        </w:rPr>
        <w:t>Rahoitust</w:t>
      </w:r>
      <w:r>
        <w:rPr>
          <w:rStyle w:val="normaltextrun"/>
          <w:rFonts w:ascii="Calibri" w:hAnsi="Calibri" w:cs="Calibri"/>
        </w:rPr>
        <w:t xml:space="preserve">arve on tunnistettu esimerkiksi Ilmastorahaston </w:t>
      </w:r>
      <w:r w:rsidR="005501DD">
        <w:rPr>
          <w:rStyle w:val="normaltextrun"/>
          <w:rFonts w:ascii="Calibri" w:hAnsi="Calibri" w:cs="Calibri"/>
        </w:rPr>
        <w:t>esiprojekti</w:t>
      </w:r>
      <w:r w:rsidR="0026183E">
        <w:rPr>
          <w:rStyle w:val="normaltextrun"/>
          <w:rFonts w:ascii="Calibri" w:hAnsi="Calibri" w:cs="Calibri"/>
        </w:rPr>
        <w:t>virrassa</w:t>
      </w:r>
      <w:r>
        <w:rPr>
          <w:rStyle w:val="normaltextrun"/>
          <w:rFonts w:ascii="Calibri" w:hAnsi="Calibri" w:cs="Calibri"/>
        </w:rPr>
        <w:t xml:space="preserve">, jossa kiertotalouteen suoraan liittyvät hankkeet muodostavat suurimman yksittäisen ryhmän (lähes 20 %). </w:t>
      </w:r>
      <w:r w:rsidR="001A3E58">
        <w:rPr>
          <w:rStyle w:val="normaltextrun"/>
          <w:rFonts w:ascii="Calibri" w:hAnsi="Calibri" w:cs="Calibri"/>
        </w:rPr>
        <w:t xml:space="preserve">Lisäksi julkisilla hankinnoilla on keskeinen rooli uusien kiertotalousratkaisujen markkinoiden avaajana. </w:t>
      </w:r>
    </w:p>
    <w:p w14:paraId="72A2F9A5" w14:textId="5AAC17AA" w:rsidR="00DA65D6" w:rsidRDefault="00DA65D6" w:rsidP="00A263F3">
      <w:pPr>
        <w:spacing w:after="0"/>
        <w:rPr>
          <w:rStyle w:val="normaltextrun"/>
          <w:rFonts w:ascii="Calibri" w:hAnsi="Calibri" w:cs="Calibri"/>
        </w:rPr>
      </w:pPr>
    </w:p>
    <w:p w14:paraId="576EB626" w14:textId="34E524F8" w:rsidR="00D05E76" w:rsidRPr="001C7125" w:rsidRDefault="0EF75E32" w:rsidP="0EF75E32">
      <w:pPr>
        <w:spacing w:after="0"/>
        <w:rPr>
          <w:color w:val="000000" w:themeColor="text1"/>
          <w:u w:val="single"/>
        </w:rPr>
      </w:pPr>
      <w:r w:rsidRPr="001C7125">
        <w:rPr>
          <w:color w:val="000000" w:themeColor="text1"/>
          <w:u w:val="single"/>
        </w:rPr>
        <w:t xml:space="preserve">Politiikkakytkökset: </w:t>
      </w:r>
    </w:p>
    <w:p w14:paraId="4EFB04DA" w14:textId="581E1C25" w:rsidR="003D6D35" w:rsidRPr="006E2CB0" w:rsidRDefault="0EF75E32" w:rsidP="003A2A54">
      <w:pPr>
        <w:pStyle w:val="Luettelokappale"/>
        <w:numPr>
          <w:ilvl w:val="0"/>
          <w:numId w:val="11"/>
        </w:numPr>
        <w:spacing w:before="120" w:after="0"/>
        <w:ind w:left="714" w:hanging="357"/>
        <w:contextualSpacing w:val="0"/>
        <w:rPr>
          <w:rStyle w:val="normaltextrun"/>
          <w:rFonts w:ascii="Calibri" w:hAnsi="Calibri" w:cs="Calibri"/>
        </w:rPr>
      </w:pPr>
      <w:r w:rsidRPr="003A2A54">
        <w:rPr>
          <w:rStyle w:val="normaltextrun"/>
          <w:rFonts w:ascii="Calibri" w:hAnsi="Calibri" w:cs="Calibri"/>
          <w:i/>
        </w:rPr>
        <w:t>Vihreän siirtymän rahoituksen työryhmä</w:t>
      </w:r>
      <w:r w:rsidR="00A62C3A">
        <w:rPr>
          <w:rStyle w:val="Alaviitteenviite"/>
          <w:rFonts w:ascii="Calibri" w:hAnsi="Calibri" w:cs="Calibri"/>
          <w:i/>
        </w:rPr>
        <w:footnoteReference w:id="11"/>
      </w:r>
      <w:r w:rsidR="00A033F4">
        <w:rPr>
          <w:rStyle w:val="normaltextrun"/>
          <w:rFonts w:ascii="Calibri" w:hAnsi="Calibri" w:cs="Calibri"/>
        </w:rPr>
        <w:t xml:space="preserve">: </w:t>
      </w:r>
      <w:r w:rsidR="00A62C3A">
        <w:rPr>
          <w:rStyle w:val="normaltextrun"/>
          <w:rFonts w:ascii="Calibri" w:hAnsi="Calibri" w:cs="Calibri"/>
        </w:rPr>
        <w:t>”</w:t>
      </w:r>
      <w:r w:rsidR="00A033F4">
        <w:t>I</w:t>
      </w:r>
      <w:r w:rsidR="00A62C3A">
        <w:t>lmasto- ja muiden velvoitteiden kiristyttyä investointitarpeet vihreää siirtymää tukeviin kiertotalousmalleihin kasvavat jatkuvasti”.</w:t>
      </w:r>
      <w:r w:rsidR="00A56951">
        <w:rPr>
          <w:rStyle w:val="normaltextrun"/>
          <w:rFonts w:ascii="Calibri" w:hAnsi="Calibri" w:cs="Calibri"/>
        </w:rPr>
        <w:t xml:space="preserve"> </w:t>
      </w:r>
    </w:p>
    <w:p w14:paraId="202CDE35" w14:textId="29037CC3" w:rsidR="00CB509A" w:rsidRPr="003A2A54" w:rsidRDefault="00A033F4" w:rsidP="003A2A54">
      <w:pPr>
        <w:pStyle w:val="Luettelokappale"/>
        <w:numPr>
          <w:ilvl w:val="0"/>
          <w:numId w:val="11"/>
        </w:numPr>
        <w:spacing w:before="120" w:after="0"/>
        <w:ind w:left="714" w:hanging="357"/>
        <w:contextualSpacing w:val="0"/>
        <w:rPr>
          <w:rStyle w:val="normaltextrun"/>
          <w:rFonts w:ascii="Calibri" w:hAnsi="Calibri" w:cs="Calibri"/>
          <w:i/>
        </w:rPr>
      </w:pPr>
      <w:r>
        <w:rPr>
          <w:rStyle w:val="normaltextrun"/>
          <w:rFonts w:ascii="Calibri" w:hAnsi="Calibri" w:cs="Calibri"/>
          <w:i/>
        </w:rPr>
        <w:t>Valtioneuvoston periaatepäätös kiertotalouden strategisesta ohjelmasta</w:t>
      </w:r>
      <w:r>
        <w:rPr>
          <w:rStyle w:val="Alaviitteenviite"/>
          <w:rFonts w:ascii="Calibri" w:hAnsi="Calibri" w:cs="Calibri"/>
          <w:i/>
        </w:rPr>
        <w:footnoteReference w:id="12"/>
      </w:r>
      <w:r>
        <w:rPr>
          <w:rStyle w:val="normaltextrun"/>
          <w:rFonts w:ascii="Calibri" w:hAnsi="Calibri" w:cs="Calibri"/>
          <w:i/>
        </w:rPr>
        <w:t xml:space="preserve"> </w:t>
      </w:r>
      <w:r w:rsidRPr="003A2A54">
        <w:rPr>
          <w:rStyle w:val="normaltextrun"/>
          <w:rFonts w:ascii="Calibri" w:hAnsi="Calibri" w:cs="Calibri"/>
        </w:rPr>
        <w:t>linjaa</w:t>
      </w:r>
      <w:r>
        <w:rPr>
          <w:rStyle w:val="normaltextrun"/>
          <w:rFonts w:ascii="Calibri" w:hAnsi="Calibri" w:cs="Calibri"/>
        </w:rPr>
        <w:t xml:space="preserve">, että </w:t>
      </w:r>
      <w:r>
        <w:t xml:space="preserve">rahoitusta </w:t>
      </w:r>
      <w:r w:rsidR="0087735E">
        <w:t xml:space="preserve">kiertotalouden </w:t>
      </w:r>
      <w:r>
        <w:t>TKI- ja ekosysteemitoiminnalle sekä demo- ja laitosinvestoinneille vahvistetaan.</w:t>
      </w:r>
      <w:r w:rsidRPr="00BE69C8" w:rsidDel="00A033F4">
        <w:rPr>
          <w:rStyle w:val="normaltextrun"/>
          <w:rFonts w:ascii="Calibri" w:hAnsi="Calibri" w:cs="Calibri"/>
          <w:i/>
        </w:rPr>
        <w:t xml:space="preserve"> </w:t>
      </w:r>
    </w:p>
    <w:p w14:paraId="1B584CD9" w14:textId="3E78A949" w:rsidR="00D05E76" w:rsidRPr="003A2A54" w:rsidRDefault="0EF75E32" w:rsidP="003A2A54">
      <w:pPr>
        <w:pStyle w:val="Luettelokappale"/>
        <w:numPr>
          <w:ilvl w:val="0"/>
          <w:numId w:val="11"/>
        </w:numPr>
        <w:spacing w:before="120" w:after="0"/>
        <w:ind w:left="714" w:hanging="357"/>
        <w:contextualSpacing w:val="0"/>
        <w:rPr>
          <w:rStyle w:val="normaltextrun"/>
          <w:rFonts w:ascii="Calibri" w:hAnsi="Calibri" w:cs="Calibri"/>
          <w:i/>
        </w:rPr>
      </w:pPr>
      <w:r w:rsidRPr="003A2A54">
        <w:rPr>
          <w:rStyle w:val="normaltextrun"/>
          <w:rFonts w:ascii="Calibri" w:hAnsi="Calibri" w:cs="Calibri"/>
          <w:i/>
        </w:rPr>
        <w:t xml:space="preserve">Kiertotalouden </w:t>
      </w:r>
      <w:proofErr w:type="spellStart"/>
      <w:r w:rsidRPr="003A2A54">
        <w:rPr>
          <w:rStyle w:val="normaltextrun"/>
          <w:rFonts w:ascii="Calibri" w:hAnsi="Calibri" w:cs="Calibri"/>
          <w:i/>
        </w:rPr>
        <w:t>green</w:t>
      </w:r>
      <w:proofErr w:type="spellEnd"/>
      <w:r w:rsidRPr="003A2A54">
        <w:rPr>
          <w:rStyle w:val="normaltextrun"/>
          <w:rFonts w:ascii="Calibri" w:hAnsi="Calibri" w:cs="Calibri"/>
          <w:i/>
        </w:rPr>
        <w:t xml:space="preserve"> </w:t>
      </w:r>
      <w:proofErr w:type="spellStart"/>
      <w:r w:rsidRPr="003A2A54">
        <w:rPr>
          <w:rStyle w:val="normaltextrun"/>
          <w:rFonts w:ascii="Calibri" w:hAnsi="Calibri" w:cs="Calibri"/>
          <w:i/>
        </w:rPr>
        <w:t>deal</w:t>
      </w:r>
      <w:proofErr w:type="spellEnd"/>
      <w:r w:rsidR="00A033F4">
        <w:rPr>
          <w:rStyle w:val="normaltextrun"/>
          <w:rFonts w:ascii="Calibri" w:hAnsi="Calibri" w:cs="Calibri"/>
          <w:i/>
        </w:rPr>
        <w:t xml:space="preserve"> –prosessissa </w:t>
      </w:r>
      <w:r w:rsidR="00A033F4">
        <w:rPr>
          <w:rStyle w:val="Alaviitteenviite"/>
          <w:rFonts w:ascii="Calibri" w:hAnsi="Calibri" w:cs="Calibri"/>
          <w:i/>
        </w:rPr>
        <w:footnoteReference w:id="13"/>
      </w:r>
      <w:r w:rsidR="00A033F4">
        <w:rPr>
          <w:rStyle w:val="normaltextrun"/>
          <w:rFonts w:ascii="Calibri" w:hAnsi="Calibri" w:cs="Calibri"/>
          <w:i/>
        </w:rPr>
        <w:t xml:space="preserve"> </w:t>
      </w:r>
      <w:r w:rsidR="0087735E">
        <w:rPr>
          <w:rStyle w:val="normaltextrun"/>
          <w:rFonts w:ascii="Calibri" w:hAnsi="Calibri" w:cs="Calibri"/>
        </w:rPr>
        <w:t>on</w:t>
      </w:r>
      <w:r w:rsidR="00A033F4">
        <w:rPr>
          <w:rStyle w:val="normaltextrun"/>
          <w:rFonts w:ascii="Calibri" w:hAnsi="Calibri" w:cs="Calibri"/>
        </w:rPr>
        <w:t xml:space="preserve"> </w:t>
      </w:r>
      <w:r w:rsidR="00BE69C8">
        <w:rPr>
          <w:rStyle w:val="normaltextrun"/>
          <w:rFonts w:ascii="Calibri" w:hAnsi="Calibri" w:cs="Calibri"/>
        </w:rPr>
        <w:t xml:space="preserve">tunnistettu </w:t>
      </w:r>
      <w:r w:rsidR="0087735E">
        <w:rPr>
          <w:rStyle w:val="normaltextrun"/>
          <w:rFonts w:ascii="Calibri" w:hAnsi="Calibri" w:cs="Calibri"/>
        </w:rPr>
        <w:t xml:space="preserve">tutkimuslaitosten, sidosryhmien ja ministeriöiden yhteistyöllä kiertotalouden strategiset muutosalueet (ks. muistion kohta 3). </w:t>
      </w:r>
    </w:p>
    <w:p w14:paraId="37F69D7B" w14:textId="40CF9279" w:rsidR="0EF75E32" w:rsidRPr="003A2A54" w:rsidRDefault="0EF75E32" w:rsidP="003A2A54">
      <w:pPr>
        <w:pStyle w:val="Luettelokappale"/>
        <w:numPr>
          <w:ilvl w:val="0"/>
          <w:numId w:val="11"/>
        </w:numPr>
        <w:spacing w:before="120" w:after="0"/>
        <w:ind w:left="714" w:hanging="357"/>
        <w:contextualSpacing w:val="0"/>
        <w:rPr>
          <w:rStyle w:val="normaltextrun"/>
          <w:i/>
        </w:rPr>
      </w:pPr>
      <w:r w:rsidRPr="003A2A54">
        <w:rPr>
          <w:rStyle w:val="normaltextrun"/>
          <w:rFonts w:ascii="Calibri" w:hAnsi="Calibri" w:cs="Calibri"/>
          <w:i/>
        </w:rPr>
        <w:t>Kaivannaisteollisuuden kiertotalouden koordinaatioryhmä</w:t>
      </w:r>
      <w:r w:rsidR="0087735E">
        <w:rPr>
          <w:rStyle w:val="normaltextrun"/>
          <w:rFonts w:ascii="Calibri" w:hAnsi="Calibri" w:cs="Calibri"/>
          <w:i/>
        </w:rPr>
        <w:t xml:space="preserve"> </w:t>
      </w:r>
      <w:r w:rsidR="0087735E" w:rsidRPr="003A2A54">
        <w:rPr>
          <w:rStyle w:val="normaltextrun"/>
          <w:rFonts w:ascii="Calibri" w:hAnsi="Calibri" w:cs="Calibri"/>
        </w:rPr>
        <w:t>peräänkuuluttaa</w:t>
      </w:r>
      <w:r w:rsidR="0087735E">
        <w:rPr>
          <w:rStyle w:val="normaltextrun"/>
          <w:rFonts w:ascii="Calibri" w:hAnsi="Calibri" w:cs="Calibri"/>
        </w:rPr>
        <w:t xml:space="preserve"> satsauksia </w:t>
      </w:r>
      <w:r w:rsidR="000B3179">
        <w:rPr>
          <w:rStyle w:val="normaltextrun"/>
          <w:rFonts w:ascii="Calibri" w:hAnsi="Calibri" w:cs="Calibri"/>
        </w:rPr>
        <w:t>teeman</w:t>
      </w:r>
      <w:r w:rsidR="00BE69C8">
        <w:rPr>
          <w:rStyle w:val="normaltextrun"/>
          <w:rFonts w:ascii="Calibri" w:hAnsi="Calibri" w:cs="Calibri"/>
        </w:rPr>
        <w:t xml:space="preserve"> potentiaalisimpien liiketoiminta-aihioiden</w:t>
      </w:r>
      <w:r w:rsidR="0087735E">
        <w:rPr>
          <w:rStyle w:val="normaltextrun"/>
          <w:rFonts w:ascii="Calibri" w:hAnsi="Calibri" w:cs="Calibri"/>
        </w:rPr>
        <w:t xml:space="preserve"> TKI- sekä pilotti- ja demoinvestointe</w:t>
      </w:r>
      <w:r w:rsidR="00BE69C8">
        <w:rPr>
          <w:rStyle w:val="normaltextrun"/>
          <w:rFonts w:ascii="Calibri" w:hAnsi="Calibri" w:cs="Calibri"/>
        </w:rPr>
        <w:t>ihin</w:t>
      </w:r>
      <w:r w:rsidR="0087735E">
        <w:rPr>
          <w:rStyle w:val="normaltextrun"/>
          <w:rFonts w:ascii="Calibri" w:hAnsi="Calibri" w:cs="Calibri"/>
        </w:rPr>
        <w:t>.</w:t>
      </w:r>
      <w:r w:rsidR="0087735E">
        <w:rPr>
          <w:rStyle w:val="Alaviitteenviite"/>
          <w:rFonts w:ascii="Calibri" w:hAnsi="Calibri" w:cs="Calibri"/>
        </w:rPr>
        <w:footnoteReference w:id="14"/>
      </w:r>
      <w:r w:rsidR="0087735E">
        <w:rPr>
          <w:rStyle w:val="normaltextrun"/>
          <w:rFonts w:ascii="Calibri" w:hAnsi="Calibri" w:cs="Calibri"/>
        </w:rPr>
        <w:t xml:space="preserve"> </w:t>
      </w:r>
      <w:r w:rsidR="0087735E">
        <w:rPr>
          <w:rStyle w:val="normaltextrun"/>
          <w:rFonts w:ascii="Calibri" w:hAnsi="Calibri" w:cs="Calibri"/>
          <w:i/>
        </w:rPr>
        <w:t xml:space="preserve"> </w:t>
      </w:r>
    </w:p>
    <w:p w14:paraId="3624C32F" w14:textId="3140922E" w:rsidR="003D6D35" w:rsidRPr="00BE69C8" w:rsidRDefault="0EF75E32" w:rsidP="003A2A54">
      <w:pPr>
        <w:pStyle w:val="Luettelokappale"/>
        <w:numPr>
          <w:ilvl w:val="0"/>
          <w:numId w:val="11"/>
        </w:numPr>
        <w:spacing w:before="120" w:after="0"/>
        <w:ind w:left="714" w:hanging="357"/>
        <w:contextualSpacing w:val="0"/>
        <w:rPr>
          <w:rStyle w:val="normaltextrun"/>
          <w:rFonts w:ascii="Calibri" w:hAnsi="Calibri" w:cs="Calibri"/>
        </w:rPr>
      </w:pPr>
      <w:r w:rsidRPr="003A2A54">
        <w:rPr>
          <w:rStyle w:val="normaltextrun"/>
          <w:rFonts w:ascii="Calibri" w:hAnsi="Calibri" w:cs="Calibri"/>
          <w:i/>
        </w:rPr>
        <w:t>Muovitiekartta</w:t>
      </w:r>
      <w:r w:rsidR="0087735E" w:rsidRPr="00BE69C8">
        <w:rPr>
          <w:rStyle w:val="Alaviitteenviite"/>
          <w:rFonts w:ascii="Calibri" w:hAnsi="Calibri" w:cs="Calibri"/>
          <w:i/>
        </w:rPr>
        <w:footnoteReference w:id="15"/>
      </w:r>
      <w:r w:rsidR="00BE69C8" w:rsidRPr="00BE69C8">
        <w:rPr>
          <w:rStyle w:val="normaltextrun"/>
          <w:rFonts w:ascii="Calibri" w:hAnsi="Calibri" w:cs="Calibri"/>
          <w:i/>
        </w:rPr>
        <w:t xml:space="preserve"> </w:t>
      </w:r>
      <w:r w:rsidR="00BE69C8" w:rsidRPr="003A2A54">
        <w:rPr>
          <w:rStyle w:val="normaltextrun"/>
          <w:rFonts w:ascii="Calibri" w:hAnsi="Calibri" w:cs="Calibri"/>
        </w:rPr>
        <w:t>on</w:t>
      </w:r>
      <w:r w:rsidR="00A56951" w:rsidRPr="00BE69C8">
        <w:rPr>
          <w:rStyle w:val="normaltextrun"/>
          <w:rFonts w:ascii="Calibri" w:hAnsi="Calibri" w:cs="Calibri"/>
        </w:rPr>
        <w:t xml:space="preserve"> akuutissa vaiheessa </w:t>
      </w:r>
      <w:r w:rsidR="00BE69C8">
        <w:rPr>
          <w:rStyle w:val="normaltextrun"/>
          <w:rFonts w:ascii="Calibri" w:hAnsi="Calibri" w:cs="Calibri"/>
        </w:rPr>
        <w:t>– kokeiluja ja investointeja t</w:t>
      </w:r>
      <w:r w:rsidR="00BE69C8" w:rsidRPr="003A2A54">
        <w:rPr>
          <w:rStyle w:val="normaltextrun"/>
          <w:rFonts w:ascii="Calibri" w:hAnsi="Calibri" w:cs="Calibri"/>
        </w:rPr>
        <w:t>arvitaan koko arvoketjussa.</w:t>
      </w:r>
      <w:r w:rsidR="00D46521" w:rsidRPr="00BE69C8">
        <w:rPr>
          <w:rStyle w:val="normaltextrun"/>
          <w:rFonts w:ascii="Calibri" w:hAnsi="Calibri" w:cs="Calibri"/>
        </w:rPr>
        <w:t xml:space="preserve"> </w:t>
      </w:r>
    </w:p>
    <w:p w14:paraId="68DD671F" w14:textId="33CFB893" w:rsidR="003750CB" w:rsidRPr="00336DD9" w:rsidRDefault="0EF75E32" w:rsidP="003A2A54">
      <w:pPr>
        <w:pStyle w:val="Luettelokappale"/>
        <w:numPr>
          <w:ilvl w:val="0"/>
          <w:numId w:val="11"/>
        </w:numPr>
        <w:spacing w:before="120" w:after="0"/>
        <w:ind w:left="714" w:hanging="357"/>
        <w:contextualSpacing w:val="0"/>
        <w:rPr>
          <w:rStyle w:val="normaltextrun"/>
          <w:rFonts w:ascii="Calibri" w:hAnsi="Calibri" w:cs="Calibri"/>
        </w:rPr>
      </w:pPr>
      <w:r w:rsidRPr="003A2A54">
        <w:rPr>
          <w:rStyle w:val="normaltextrun"/>
          <w:rFonts w:ascii="Calibri" w:hAnsi="Calibri" w:cs="Calibri"/>
          <w:i/>
        </w:rPr>
        <w:t>Valtakunnallinen jätesuunnitelma</w:t>
      </w:r>
      <w:r w:rsidR="00BE69C8">
        <w:rPr>
          <w:rStyle w:val="Alaviitteenviite"/>
          <w:rFonts w:ascii="Calibri" w:hAnsi="Calibri" w:cs="Calibri"/>
          <w:i/>
        </w:rPr>
        <w:footnoteReference w:id="16"/>
      </w:r>
      <w:r w:rsidR="00BE69C8">
        <w:rPr>
          <w:rStyle w:val="normaltextrun"/>
          <w:rFonts w:ascii="Calibri" w:hAnsi="Calibri" w:cs="Calibri"/>
          <w:i/>
        </w:rPr>
        <w:t xml:space="preserve"> </w:t>
      </w:r>
      <w:r w:rsidR="00BE69C8">
        <w:rPr>
          <w:rStyle w:val="normaltextrun"/>
          <w:rFonts w:ascii="Calibri" w:hAnsi="Calibri" w:cs="Calibri"/>
        </w:rPr>
        <w:t xml:space="preserve">edellyttää </w:t>
      </w:r>
      <w:r w:rsidR="00547144">
        <w:rPr>
          <w:rStyle w:val="normaltextrun"/>
          <w:rFonts w:ascii="Calibri" w:hAnsi="Calibri" w:cs="Calibri"/>
        </w:rPr>
        <w:t xml:space="preserve">kierrätystavoitteiden </w:t>
      </w:r>
      <w:r w:rsidR="00BE69C8">
        <w:rPr>
          <w:rStyle w:val="normaltextrun"/>
          <w:rFonts w:ascii="Calibri" w:hAnsi="Calibri" w:cs="Calibri"/>
        </w:rPr>
        <w:t xml:space="preserve">saavuttamiseksi varautumista </w:t>
      </w:r>
      <w:r w:rsidR="00547144" w:rsidRPr="00547144">
        <w:rPr>
          <w:rStyle w:val="normaltextrun"/>
          <w:rFonts w:ascii="Calibri" w:hAnsi="Calibri" w:cs="Calibri"/>
        </w:rPr>
        <w:t>uudelleenkäytön kokeiluihin ja toimintamalleihin sekä lisäkapasiteettiin</w:t>
      </w:r>
      <w:r w:rsidR="00BE69C8">
        <w:rPr>
          <w:rStyle w:val="normaltextrun"/>
          <w:rFonts w:ascii="Calibri" w:hAnsi="Calibri" w:cs="Calibri"/>
        </w:rPr>
        <w:t xml:space="preserve"> eri tuoteryhmissä ja  sektoreilla</w:t>
      </w:r>
      <w:r w:rsidR="00547144" w:rsidRPr="00547144">
        <w:rPr>
          <w:rStyle w:val="normaltextrun"/>
          <w:rFonts w:ascii="Calibri" w:hAnsi="Calibri" w:cs="Calibri"/>
        </w:rPr>
        <w:t>.</w:t>
      </w:r>
      <w:r w:rsidR="00BE69C8">
        <w:rPr>
          <w:rStyle w:val="normaltextrun"/>
          <w:rFonts w:ascii="Calibri" w:hAnsi="Calibri" w:cs="Calibri"/>
        </w:rPr>
        <w:t xml:space="preserve"> </w:t>
      </w:r>
    </w:p>
    <w:p w14:paraId="4631540B" w14:textId="02E2BA40" w:rsidR="00346A0C" w:rsidRDefault="00346A0C" w:rsidP="00346A0C">
      <w:pPr>
        <w:spacing w:after="0"/>
        <w:rPr>
          <w:b/>
          <w:bCs/>
          <w:color w:val="000000" w:themeColor="text1"/>
        </w:rPr>
      </w:pPr>
    </w:p>
    <w:p w14:paraId="4F0FD4A2" w14:textId="2D5D2B37" w:rsidR="00346A0C" w:rsidRDefault="00346A0C" w:rsidP="00346A0C">
      <w:pPr>
        <w:spacing w:after="0"/>
        <w:rPr>
          <w:b/>
          <w:bCs/>
          <w:color w:val="000000" w:themeColor="text1"/>
        </w:rPr>
      </w:pPr>
    </w:p>
    <w:p w14:paraId="6A4F97B9" w14:textId="0A7C7DA2" w:rsidR="00346A0C" w:rsidRDefault="00346A0C" w:rsidP="00346A0C">
      <w:pPr>
        <w:spacing w:after="0"/>
        <w:rPr>
          <w:b/>
          <w:bCs/>
          <w:color w:val="000000" w:themeColor="text1"/>
        </w:rPr>
      </w:pPr>
    </w:p>
    <w:p w14:paraId="64EC7921" w14:textId="5EEFD98D" w:rsidR="00346A0C" w:rsidRDefault="00346A0C" w:rsidP="00346A0C">
      <w:pPr>
        <w:spacing w:after="0"/>
        <w:rPr>
          <w:b/>
          <w:bCs/>
          <w:color w:val="000000" w:themeColor="text1"/>
        </w:rPr>
      </w:pPr>
    </w:p>
    <w:p w14:paraId="3279EC03" w14:textId="77777777" w:rsidR="00346A0C" w:rsidRPr="00086049" w:rsidRDefault="00346A0C" w:rsidP="00346A0C">
      <w:pPr>
        <w:spacing w:after="0"/>
        <w:rPr>
          <w:b/>
          <w:bCs/>
          <w:color w:val="000000" w:themeColor="text1"/>
        </w:rPr>
      </w:pPr>
    </w:p>
    <w:p w14:paraId="1040983B" w14:textId="590493E4" w:rsidR="00CB509A" w:rsidRDefault="0EF75E32" w:rsidP="0EF75E32">
      <w:pPr>
        <w:pStyle w:val="Luettelokappale"/>
        <w:numPr>
          <w:ilvl w:val="0"/>
          <w:numId w:val="6"/>
        </w:numPr>
        <w:spacing w:after="0"/>
        <w:ind w:left="360"/>
        <w:rPr>
          <w:b/>
          <w:bCs/>
          <w:color w:val="000000" w:themeColor="text1"/>
        </w:rPr>
      </w:pPr>
      <w:r w:rsidRPr="0EF75E32">
        <w:rPr>
          <w:b/>
          <w:bCs/>
          <w:color w:val="000000" w:themeColor="text1"/>
        </w:rPr>
        <w:t xml:space="preserve">Esitettävät toimenpiteet </w:t>
      </w:r>
    </w:p>
    <w:p w14:paraId="1FAA8598" w14:textId="097867EC" w:rsidR="00944ED0" w:rsidRDefault="00944ED0" w:rsidP="00944ED0">
      <w:pPr>
        <w:spacing w:after="0"/>
        <w:rPr>
          <w:b/>
          <w:bCs/>
          <w:color w:val="000000" w:themeColor="text1"/>
        </w:rPr>
      </w:pPr>
    </w:p>
    <w:p w14:paraId="15E28548" w14:textId="5158CAED" w:rsidR="00CD759B" w:rsidRDefault="004C171F" w:rsidP="0EF75E32">
      <w:pPr>
        <w:spacing w:after="0"/>
        <w:rPr>
          <w:color w:val="000000" w:themeColor="text1"/>
        </w:rPr>
      </w:pPr>
      <w:r w:rsidRPr="004C171F">
        <w:rPr>
          <w:b/>
          <w:color w:val="000000" w:themeColor="text1"/>
        </w:rPr>
        <w:t>i)</w:t>
      </w:r>
      <w:r>
        <w:rPr>
          <w:color w:val="000000" w:themeColor="text1"/>
        </w:rPr>
        <w:t xml:space="preserve"> </w:t>
      </w:r>
      <w:r w:rsidR="0EF75E32" w:rsidRPr="001C7125">
        <w:rPr>
          <w:b/>
          <w:color w:val="000000" w:themeColor="text1"/>
        </w:rPr>
        <w:t>Jatketaan ja vahvistetaan kiertotalousmurrosta tukevien innovaatioiden ja liiketoimintaratkaisujen TKI-</w:t>
      </w:r>
      <w:r w:rsidR="00CD759B" w:rsidRPr="001C7125">
        <w:rPr>
          <w:b/>
          <w:color w:val="000000" w:themeColor="text1"/>
        </w:rPr>
        <w:t xml:space="preserve"> ja investointitukirahoitusta</w:t>
      </w:r>
      <w:r w:rsidR="0EF75E32" w:rsidRPr="001C7125">
        <w:rPr>
          <w:b/>
          <w:color w:val="000000" w:themeColor="text1"/>
        </w:rPr>
        <w:t>.</w:t>
      </w:r>
      <w:r w:rsidR="0EF75E32" w:rsidRPr="0EF75E32">
        <w:rPr>
          <w:color w:val="000000" w:themeColor="text1"/>
        </w:rPr>
        <w:t xml:space="preserve"> </w:t>
      </w:r>
      <w:r w:rsidR="002D1603">
        <w:rPr>
          <w:color w:val="000000" w:themeColor="text1"/>
        </w:rPr>
        <w:t xml:space="preserve">Suunnataan rahoitusta erityisesti </w:t>
      </w:r>
      <w:r w:rsidR="00CD759B">
        <w:rPr>
          <w:color w:val="000000" w:themeColor="text1"/>
        </w:rPr>
        <w:t xml:space="preserve">Kiertotalouden </w:t>
      </w:r>
      <w:proofErr w:type="spellStart"/>
      <w:r w:rsidR="00CD759B">
        <w:rPr>
          <w:color w:val="000000" w:themeColor="text1"/>
        </w:rPr>
        <w:t>green</w:t>
      </w:r>
      <w:proofErr w:type="spellEnd"/>
      <w:r w:rsidR="00CD759B">
        <w:rPr>
          <w:color w:val="000000" w:themeColor="text1"/>
        </w:rPr>
        <w:t xml:space="preserve"> </w:t>
      </w:r>
      <w:proofErr w:type="spellStart"/>
      <w:r w:rsidR="00CD759B">
        <w:rPr>
          <w:color w:val="000000" w:themeColor="text1"/>
        </w:rPr>
        <w:t>deal</w:t>
      </w:r>
      <w:proofErr w:type="spellEnd"/>
      <w:r w:rsidR="00CD759B">
        <w:rPr>
          <w:color w:val="000000" w:themeColor="text1"/>
        </w:rPr>
        <w:t xml:space="preserve"> </w:t>
      </w:r>
      <w:r w:rsidR="002D1603">
        <w:rPr>
          <w:color w:val="000000" w:themeColor="text1"/>
        </w:rPr>
        <w:t>-</w:t>
      </w:r>
      <w:r w:rsidR="00CD759B">
        <w:rPr>
          <w:color w:val="000000" w:themeColor="text1"/>
        </w:rPr>
        <w:t xml:space="preserve">prosessissa </w:t>
      </w:r>
      <w:r w:rsidR="002D1603">
        <w:rPr>
          <w:color w:val="000000" w:themeColor="text1"/>
        </w:rPr>
        <w:t>tunniste</w:t>
      </w:r>
      <w:r w:rsidR="00061AEF">
        <w:rPr>
          <w:color w:val="000000" w:themeColor="text1"/>
        </w:rPr>
        <w:t>ttujen muutosalueiden r</w:t>
      </w:r>
      <w:r w:rsidR="00FC0406">
        <w:rPr>
          <w:color w:val="000000" w:themeColor="text1"/>
        </w:rPr>
        <w:t>atkaisuihin:</w:t>
      </w:r>
    </w:p>
    <w:p w14:paraId="47E3FA3A" w14:textId="6A3580D8" w:rsidR="00CD759B" w:rsidRPr="003A2A54" w:rsidRDefault="00CD759B" w:rsidP="003A2A54">
      <w:pPr>
        <w:pStyle w:val="Luettelokappale"/>
        <w:numPr>
          <w:ilvl w:val="0"/>
          <w:numId w:val="11"/>
        </w:numPr>
        <w:spacing w:before="120" w:after="0"/>
        <w:ind w:left="714" w:hanging="357"/>
        <w:contextualSpacing w:val="0"/>
        <w:rPr>
          <w:color w:val="000000" w:themeColor="text1"/>
        </w:rPr>
      </w:pPr>
      <w:r w:rsidRPr="00FC0406">
        <w:rPr>
          <w:i/>
          <w:color w:val="000000" w:themeColor="text1"/>
        </w:rPr>
        <w:t>resurssiviisaat rakennukset</w:t>
      </w:r>
      <w:r w:rsidR="002D1603">
        <w:rPr>
          <w:color w:val="000000" w:themeColor="text1"/>
        </w:rPr>
        <w:t xml:space="preserve"> (mm. korjaus-</w:t>
      </w:r>
      <w:r w:rsidR="00FC0406">
        <w:rPr>
          <w:color w:val="000000" w:themeColor="text1"/>
        </w:rPr>
        <w:t xml:space="preserve"> ja muunto</w:t>
      </w:r>
      <w:r w:rsidR="002D1603">
        <w:rPr>
          <w:color w:val="000000" w:themeColor="text1"/>
        </w:rPr>
        <w:t>rakentaminen</w:t>
      </w:r>
      <w:r w:rsidR="00061AEF">
        <w:rPr>
          <w:color w:val="000000" w:themeColor="text1"/>
        </w:rPr>
        <w:t>, rakennusosien uudelleenkäyttö</w:t>
      </w:r>
      <w:r w:rsidR="002D1603">
        <w:rPr>
          <w:color w:val="000000" w:themeColor="text1"/>
        </w:rPr>
        <w:t>)</w:t>
      </w:r>
    </w:p>
    <w:p w14:paraId="71A48136" w14:textId="77777777" w:rsidR="00FC0406" w:rsidRDefault="00CD759B" w:rsidP="003A2A54">
      <w:pPr>
        <w:pStyle w:val="Luettelokappale"/>
        <w:numPr>
          <w:ilvl w:val="0"/>
          <w:numId w:val="11"/>
        </w:numPr>
        <w:spacing w:before="120" w:after="0"/>
        <w:ind w:left="714" w:hanging="357"/>
        <w:contextualSpacing w:val="0"/>
        <w:rPr>
          <w:color w:val="000000" w:themeColor="text1"/>
        </w:rPr>
      </w:pPr>
      <w:r w:rsidRPr="00FC0406">
        <w:rPr>
          <w:i/>
          <w:color w:val="000000" w:themeColor="text1"/>
        </w:rPr>
        <w:t>kiertävät maa- ja kiviainekset</w:t>
      </w:r>
      <w:r w:rsidR="002D1603" w:rsidRPr="00FC0406">
        <w:rPr>
          <w:color w:val="000000" w:themeColor="text1"/>
        </w:rPr>
        <w:t xml:space="preserve"> (mm. kaivannaisteollisuuden jäte- ja sivutuotteiden hyödynnys)</w:t>
      </w:r>
    </w:p>
    <w:p w14:paraId="6ADF7606" w14:textId="1166D1A2" w:rsidR="00CD759B" w:rsidRPr="003A2A54" w:rsidRDefault="00CD759B" w:rsidP="003A2A54">
      <w:pPr>
        <w:pStyle w:val="Luettelokappale"/>
        <w:numPr>
          <w:ilvl w:val="0"/>
          <w:numId w:val="11"/>
        </w:numPr>
        <w:spacing w:before="120" w:after="0"/>
        <w:ind w:left="714" w:hanging="357"/>
        <w:contextualSpacing w:val="0"/>
        <w:rPr>
          <w:color w:val="000000" w:themeColor="text1"/>
        </w:rPr>
      </w:pPr>
      <w:r w:rsidRPr="00FC0406">
        <w:rPr>
          <w:i/>
          <w:color w:val="000000" w:themeColor="text1"/>
        </w:rPr>
        <w:t>resurssiviisas tuotanto ja raaka-aineiden kierto</w:t>
      </w:r>
      <w:r w:rsidR="002D1603" w:rsidRPr="00FC0406">
        <w:rPr>
          <w:color w:val="000000" w:themeColor="text1"/>
        </w:rPr>
        <w:t xml:space="preserve"> (mm. korkean jalostusarvon materiaali-innovaatiot</w:t>
      </w:r>
      <w:r w:rsidR="00061AEF">
        <w:rPr>
          <w:color w:val="000000" w:themeColor="text1"/>
        </w:rPr>
        <w:t>; tuotteiden elinikää pidentävä suunnittelu; tekstiilien, akkumetallien ja</w:t>
      </w:r>
      <w:r w:rsidR="00FC0406">
        <w:rPr>
          <w:color w:val="000000" w:themeColor="text1"/>
        </w:rPr>
        <w:t xml:space="preserve"> muovien</w:t>
      </w:r>
      <w:r w:rsidR="00061AEF">
        <w:rPr>
          <w:color w:val="000000" w:themeColor="text1"/>
        </w:rPr>
        <w:t xml:space="preserve"> kierrätys</w:t>
      </w:r>
      <w:r w:rsidR="00FC0406">
        <w:rPr>
          <w:color w:val="000000" w:themeColor="text1"/>
        </w:rPr>
        <w:t>)</w:t>
      </w:r>
    </w:p>
    <w:p w14:paraId="19BFAC68" w14:textId="56E84675" w:rsidR="00CD759B" w:rsidRPr="003A2A54" w:rsidRDefault="00CD759B" w:rsidP="003A2A54">
      <w:pPr>
        <w:pStyle w:val="Luettelokappale"/>
        <w:numPr>
          <w:ilvl w:val="0"/>
          <w:numId w:val="11"/>
        </w:numPr>
        <w:spacing w:before="120" w:after="0"/>
        <w:ind w:left="714" w:hanging="357"/>
        <w:contextualSpacing w:val="0"/>
        <w:rPr>
          <w:color w:val="000000" w:themeColor="text1"/>
        </w:rPr>
      </w:pPr>
      <w:r w:rsidRPr="002D1603">
        <w:rPr>
          <w:i/>
          <w:color w:val="000000" w:themeColor="text1"/>
        </w:rPr>
        <w:t>kestävän kulutuksen kiertotalousliiketoiminta</w:t>
      </w:r>
      <w:r w:rsidR="002D1603">
        <w:rPr>
          <w:color w:val="000000" w:themeColor="text1"/>
        </w:rPr>
        <w:t xml:space="preserve"> (mm.</w:t>
      </w:r>
      <w:r w:rsidR="006D676D">
        <w:rPr>
          <w:color w:val="000000" w:themeColor="text1"/>
        </w:rPr>
        <w:t xml:space="preserve"> kaupan alan</w:t>
      </w:r>
      <w:r w:rsidR="002D1603">
        <w:rPr>
          <w:color w:val="000000" w:themeColor="text1"/>
        </w:rPr>
        <w:t xml:space="preserve"> helpot ja houkuttelevat kuluttajien kiertotalouspalvelut</w:t>
      </w:r>
      <w:r w:rsidR="00FC0406">
        <w:rPr>
          <w:color w:val="000000" w:themeColor="text1"/>
        </w:rPr>
        <w:t xml:space="preserve"> </w:t>
      </w:r>
      <w:r w:rsidR="00FC0406">
        <w:rPr>
          <w:rStyle w:val="normaltextrun"/>
          <w:rFonts w:ascii="Calibri" w:hAnsi="Calibri" w:cs="Calibri"/>
        </w:rPr>
        <w:t>uudelleenkäytön, jakamisen</w:t>
      </w:r>
      <w:r w:rsidR="002D1603" w:rsidRPr="0EF75E32">
        <w:rPr>
          <w:rStyle w:val="normaltextrun"/>
          <w:rFonts w:ascii="Calibri" w:hAnsi="Calibri" w:cs="Calibri"/>
        </w:rPr>
        <w:t xml:space="preserve">, </w:t>
      </w:r>
      <w:r w:rsidR="00FC0406">
        <w:rPr>
          <w:rStyle w:val="normaltextrun"/>
          <w:rFonts w:ascii="Calibri" w:hAnsi="Calibri" w:cs="Calibri"/>
        </w:rPr>
        <w:t>vuokraamisen ja korjaamisen edistämiseksi</w:t>
      </w:r>
      <w:r w:rsidR="002D1603">
        <w:rPr>
          <w:rStyle w:val="normaltextrun"/>
          <w:rFonts w:ascii="Calibri" w:hAnsi="Calibri" w:cs="Calibri"/>
        </w:rPr>
        <w:t>)</w:t>
      </w:r>
    </w:p>
    <w:p w14:paraId="6945DEBB" w14:textId="0AC4F616" w:rsidR="00CD759B" w:rsidRPr="003A2A54" w:rsidRDefault="00CD759B" w:rsidP="003A2A54">
      <w:pPr>
        <w:pStyle w:val="Luettelokappale"/>
        <w:numPr>
          <w:ilvl w:val="0"/>
          <w:numId w:val="11"/>
        </w:numPr>
        <w:spacing w:before="120" w:after="0"/>
        <w:ind w:left="714" w:hanging="357"/>
        <w:contextualSpacing w:val="0"/>
        <w:rPr>
          <w:color w:val="000000" w:themeColor="text1"/>
        </w:rPr>
      </w:pPr>
      <w:r w:rsidRPr="00FC0406">
        <w:rPr>
          <w:i/>
          <w:color w:val="000000" w:themeColor="text1"/>
        </w:rPr>
        <w:t>resurssitehokas energiantuotanto</w:t>
      </w:r>
      <w:r w:rsidR="00FC0406">
        <w:rPr>
          <w:color w:val="000000" w:themeColor="text1"/>
        </w:rPr>
        <w:t xml:space="preserve"> (mm. hukkalämmön</w:t>
      </w:r>
      <w:r w:rsidR="00061AEF">
        <w:rPr>
          <w:color w:val="000000" w:themeColor="text1"/>
        </w:rPr>
        <w:t xml:space="preserve"> ja lämpövarastojen</w:t>
      </w:r>
      <w:r w:rsidR="00FC0406">
        <w:rPr>
          <w:color w:val="000000" w:themeColor="text1"/>
        </w:rPr>
        <w:t xml:space="preserve"> hyödyntäminen</w:t>
      </w:r>
      <w:r w:rsidR="00061AEF">
        <w:rPr>
          <w:color w:val="000000" w:themeColor="text1"/>
        </w:rPr>
        <w:t>)</w:t>
      </w:r>
    </w:p>
    <w:p w14:paraId="387E9AAE" w14:textId="490A346C" w:rsidR="00CD759B" w:rsidRDefault="00CD759B" w:rsidP="003A2A54">
      <w:pPr>
        <w:pStyle w:val="Luettelokappale"/>
        <w:numPr>
          <w:ilvl w:val="0"/>
          <w:numId w:val="11"/>
        </w:numPr>
        <w:spacing w:before="120" w:after="240"/>
        <w:ind w:left="714" w:hanging="357"/>
        <w:contextualSpacing w:val="0"/>
        <w:rPr>
          <w:color w:val="000000" w:themeColor="text1"/>
        </w:rPr>
      </w:pPr>
      <w:r w:rsidRPr="0063288F">
        <w:rPr>
          <w:i/>
          <w:color w:val="000000" w:themeColor="text1"/>
        </w:rPr>
        <w:t>uudistuva ruokaketju</w:t>
      </w:r>
      <w:r w:rsidR="00FC0406">
        <w:rPr>
          <w:color w:val="000000" w:themeColor="text1"/>
        </w:rPr>
        <w:t xml:space="preserve"> (mm. </w:t>
      </w:r>
      <w:r w:rsidR="00061AEF">
        <w:rPr>
          <w:color w:val="000000" w:themeColor="text1"/>
        </w:rPr>
        <w:t xml:space="preserve">maaperää parantava maatalous, kasvis- ja </w:t>
      </w:r>
      <w:r w:rsidR="00FC0406" w:rsidRPr="003A2A54">
        <w:rPr>
          <w:color w:val="000000" w:themeColor="text1"/>
        </w:rPr>
        <w:t>vaihtoehtoiset proteiinit</w:t>
      </w:r>
      <w:r w:rsidR="00061AEF">
        <w:rPr>
          <w:color w:val="000000" w:themeColor="text1"/>
        </w:rPr>
        <w:t>, ravinteiden kierrätys</w:t>
      </w:r>
      <w:r w:rsidR="00FC0406" w:rsidRPr="003A2A54">
        <w:rPr>
          <w:color w:val="000000" w:themeColor="text1"/>
        </w:rPr>
        <w:t>)</w:t>
      </w:r>
      <w:r w:rsidR="0063288F">
        <w:rPr>
          <w:color w:val="000000" w:themeColor="text1"/>
        </w:rPr>
        <w:t>.</w:t>
      </w:r>
      <w:r w:rsidR="00DA4ACA">
        <w:rPr>
          <w:color w:val="000000" w:themeColor="text1"/>
        </w:rPr>
        <w:br/>
      </w:r>
    </w:p>
    <w:p w14:paraId="75820E40" w14:textId="28CC6CD1" w:rsidR="003A2A54" w:rsidRPr="00DA4ACA" w:rsidRDefault="0054504F" w:rsidP="00DA4ACA">
      <w:pPr>
        <w:spacing w:before="120" w:after="0"/>
        <w:rPr>
          <w:color w:val="000000" w:themeColor="text1"/>
        </w:rPr>
      </w:pPr>
      <w:r>
        <w:rPr>
          <w:b/>
          <w:color w:val="000000" w:themeColor="text1"/>
        </w:rPr>
        <w:t>i</w:t>
      </w:r>
      <w:r w:rsidR="004C171F" w:rsidRPr="00DA4ACA">
        <w:rPr>
          <w:b/>
          <w:color w:val="000000" w:themeColor="text1"/>
        </w:rPr>
        <w:t>i)</w:t>
      </w:r>
      <w:r w:rsidR="004C171F" w:rsidRPr="00DA4ACA">
        <w:rPr>
          <w:color w:val="000000" w:themeColor="text1"/>
        </w:rPr>
        <w:t xml:space="preserve"> </w:t>
      </w:r>
      <w:r w:rsidR="004C171F" w:rsidRPr="00DA4ACA">
        <w:rPr>
          <w:b/>
          <w:color w:val="000000" w:themeColor="text1"/>
        </w:rPr>
        <w:t xml:space="preserve">Otetaan käyttöön </w:t>
      </w:r>
      <w:r w:rsidR="001C7125" w:rsidRPr="00DA4ACA">
        <w:rPr>
          <w:b/>
          <w:color w:val="000000" w:themeColor="text1"/>
        </w:rPr>
        <w:t>vähähiilistä kiertotaloutta edistävien i</w:t>
      </w:r>
      <w:r w:rsidR="004C171F" w:rsidRPr="00DA4ACA">
        <w:rPr>
          <w:b/>
          <w:color w:val="000000" w:themeColor="text1"/>
        </w:rPr>
        <w:t>nnovatiivisten julkisten hankintojen rahoitustuki</w:t>
      </w:r>
      <w:r w:rsidR="004C171F" w:rsidRPr="00DA4ACA">
        <w:rPr>
          <w:color w:val="000000" w:themeColor="text1"/>
        </w:rPr>
        <w:t xml:space="preserve"> tukemaan julkisen sektorin esikaupallisten ja uusien ratkaisujen hankintojen suunnittelua, riskinjakoa, skaalausta ja investointeja. Varmistetaan julkisten hankintojen </w:t>
      </w:r>
      <w:r w:rsidR="004C171F" w:rsidRPr="00C11EB1">
        <w:rPr>
          <w:b/>
          <w:color w:val="000000" w:themeColor="text1"/>
        </w:rPr>
        <w:t>KEINO-osaamiskeskuksen</w:t>
      </w:r>
      <w:r w:rsidR="004C171F" w:rsidRPr="00DA4ACA">
        <w:rPr>
          <w:color w:val="000000" w:themeColor="text1"/>
        </w:rPr>
        <w:t xml:space="preserve"> toiminnan ja kehittymisen edellytykset. </w:t>
      </w:r>
      <w:r w:rsidR="004C171F" w:rsidRPr="00DA4ACA">
        <w:rPr>
          <w:color w:val="000000" w:themeColor="text1"/>
        </w:rPr>
        <w:br/>
      </w:r>
    </w:p>
    <w:p w14:paraId="6B5967F0" w14:textId="0AFF9EB4" w:rsidR="003D6D35" w:rsidRPr="003D6D35" w:rsidRDefault="0EF75E32" w:rsidP="0EF75E32">
      <w:pPr>
        <w:pStyle w:val="Luettelokappale"/>
        <w:numPr>
          <w:ilvl w:val="0"/>
          <w:numId w:val="6"/>
        </w:numPr>
        <w:tabs>
          <w:tab w:val="left" w:pos="8116"/>
        </w:tabs>
        <w:spacing w:after="0"/>
        <w:ind w:left="360"/>
        <w:rPr>
          <w:color w:val="000000" w:themeColor="text1"/>
        </w:rPr>
      </w:pPr>
      <w:r w:rsidRPr="0EF75E32">
        <w:rPr>
          <w:b/>
          <w:bCs/>
          <w:color w:val="000000" w:themeColor="text1"/>
        </w:rPr>
        <w:t xml:space="preserve">Vaikutukset </w:t>
      </w:r>
    </w:p>
    <w:p w14:paraId="0B78072E" w14:textId="0E9227D5" w:rsidR="003D6D35" w:rsidRDefault="003D6D35" w:rsidP="003D6D35">
      <w:pPr>
        <w:tabs>
          <w:tab w:val="left" w:pos="8116"/>
        </w:tabs>
        <w:spacing w:after="0"/>
        <w:rPr>
          <w:color w:val="000000" w:themeColor="text1"/>
        </w:rPr>
      </w:pPr>
    </w:p>
    <w:p w14:paraId="72B44C42" w14:textId="1BDFAFC0" w:rsidR="00DD4960" w:rsidRPr="003A2A54" w:rsidRDefault="00C36FAB" w:rsidP="003A2A54">
      <w:pPr>
        <w:rPr>
          <w:highlight w:val="yellow"/>
        </w:rPr>
      </w:pPr>
      <w:r w:rsidRPr="003A2A54">
        <w:rPr>
          <w:color w:val="000000" w:themeColor="text1"/>
        </w:rPr>
        <w:t>Suomen vihreän siirtymän keihäänkärkien kokonaisvientipotentiaali on 85-100 miljardia euroa vuonna 2035, josta noin 45 miljardia euroa olisi täysin uutta vientiä</w:t>
      </w:r>
      <w:r>
        <w:rPr>
          <w:rStyle w:val="Alaviitteenviite"/>
          <w:color w:val="000000" w:themeColor="text1"/>
        </w:rPr>
        <w:footnoteReference w:id="17"/>
      </w:r>
      <w:r w:rsidRPr="003A2A54">
        <w:rPr>
          <w:color w:val="000000" w:themeColor="text1"/>
        </w:rPr>
        <w:t xml:space="preserve">. Kiertotaloutta tukevat toimintamallit ja ratkaisut ovat keskeinen osa </w:t>
      </w:r>
      <w:r w:rsidR="000265BE" w:rsidRPr="003A2A54">
        <w:rPr>
          <w:color w:val="000000" w:themeColor="text1"/>
        </w:rPr>
        <w:t>potentiaalia</w:t>
      </w:r>
      <w:r w:rsidRPr="003A2A54">
        <w:rPr>
          <w:color w:val="000000" w:themeColor="text1"/>
        </w:rPr>
        <w:t xml:space="preserve">. </w:t>
      </w:r>
      <w:r w:rsidR="005D7C23" w:rsidRPr="003A2A54">
        <w:rPr>
          <w:color w:val="000000" w:themeColor="text1"/>
        </w:rPr>
        <w:br/>
      </w:r>
      <w:r w:rsidR="005D7C23" w:rsidRPr="003A2A54">
        <w:rPr>
          <w:color w:val="000000" w:themeColor="text1"/>
        </w:rPr>
        <w:br/>
      </w:r>
      <w:r w:rsidR="0EF75E32" w:rsidRPr="003A2A54">
        <w:rPr>
          <w:color w:val="000000" w:themeColor="text1"/>
        </w:rPr>
        <w:t>Suuntaamalla TKI-</w:t>
      </w:r>
      <w:r w:rsidR="000265BE" w:rsidRPr="003A2A54">
        <w:rPr>
          <w:color w:val="000000" w:themeColor="text1"/>
        </w:rPr>
        <w:t xml:space="preserve"> ja investointirahoitusta </w:t>
      </w:r>
      <w:r w:rsidR="0EF75E32" w:rsidRPr="003A2A54">
        <w:rPr>
          <w:color w:val="000000" w:themeColor="text1"/>
        </w:rPr>
        <w:t xml:space="preserve">entistä vahvemmin myös arvoketjujen alkupään sekä tuotteiden ja palveluiden käyttövaiheen kiertotalousratkaisuihin edistetään systeemistä kiertotalousmurrosta. </w:t>
      </w:r>
      <w:r w:rsidR="005D7C23">
        <w:br/>
      </w:r>
      <w:r w:rsidR="005D7C23">
        <w:br/>
      </w:r>
      <w:r w:rsidR="003A2A54" w:rsidRPr="003A2A54">
        <w:t xml:space="preserve">Kiertotalouden edistäminen on oleellinen osa vihreän siirtymän kokonaisuutta energiamurroksen ohella. </w:t>
      </w:r>
      <w:r w:rsidR="000265BE" w:rsidRPr="003A2A54">
        <w:t>Siirtymällä kiertotalouden malleihin eri a</w:t>
      </w:r>
      <w:r w:rsidR="00791402" w:rsidRPr="003A2A54">
        <w:t xml:space="preserve">rvoketjuissa voidaan luoda uudenlaista ja enemmän paikalliseen talouteen ja työvoimaan perustuvaa työtä. </w:t>
      </w:r>
      <w:r w:rsidR="00791402" w:rsidRPr="003A2A54">
        <w:rPr>
          <w:rStyle w:val="scxw229497755"/>
        </w:rPr>
        <w:t>Teollisuuden kiertotalousajatteluun perustuva uudistuminen tukee työllisyyttä</w:t>
      </w:r>
      <w:r w:rsidR="003A2A54" w:rsidRPr="003A2A54">
        <w:rPr>
          <w:rStyle w:val="scxw229497755"/>
        </w:rPr>
        <w:t xml:space="preserve">. </w:t>
      </w:r>
    </w:p>
    <w:p w14:paraId="54B3DBF5" w14:textId="09405085" w:rsidR="00DA4ACA" w:rsidRDefault="00DA4ACA" w:rsidP="00DA4ACA">
      <w:pPr>
        <w:pStyle w:val="Luettelokappale"/>
        <w:spacing w:after="0"/>
        <w:ind w:left="360"/>
        <w:rPr>
          <w:b/>
          <w:bCs/>
          <w:color w:val="000000" w:themeColor="text1"/>
        </w:rPr>
      </w:pPr>
    </w:p>
    <w:p w14:paraId="035DA908" w14:textId="77777777" w:rsidR="006D676D" w:rsidRDefault="006D676D" w:rsidP="00DA4ACA">
      <w:pPr>
        <w:pStyle w:val="Luettelokappale"/>
        <w:spacing w:after="0"/>
        <w:ind w:left="360"/>
        <w:rPr>
          <w:b/>
          <w:bCs/>
          <w:color w:val="000000" w:themeColor="text1"/>
        </w:rPr>
      </w:pPr>
    </w:p>
    <w:p w14:paraId="3CF0B02B" w14:textId="1E4EEBAC" w:rsidR="00944ED0" w:rsidRDefault="0EF75E32" w:rsidP="0EF75E32">
      <w:pPr>
        <w:pStyle w:val="Luettelokappale"/>
        <w:numPr>
          <w:ilvl w:val="0"/>
          <w:numId w:val="6"/>
        </w:numPr>
        <w:spacing w:after="0"/>
        <w:ind w:left="360"/>
        <w:rPr>
          <w:b/>
          <w:bCs/>
          <w:color w:val="000000" w:themeColor="text1"/>
        </w:rPr>
      </w:pPr>
      <w:r w:rsidRPr="0EF75E32">
        <w:rPr>
          <w:b/>
          <w:bCs/>
          <w:color w:val="000000" w:themeColor="text1"/>
        </w:rPr>
        <w:t>Voimavara- ja muut tarpeet</w:t>
      </w:r>
    </w:p>
    <w:p w14:paraId="2BA92D87" w14:textId="09947EA5" w:rsidR="004C171F" w:rsidRPr="004C171F" w:rsidRDefault="004C171F" w:rsidP="004C171F"/>
    <w:tbl>
      <w:tblPr>
        <w:tblW w:w="139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2471"/>
        <w:gridCol w:w="1640"/>
        <w:gridCol w:w="992"/>
        <w:gridCol w:w="567"/>
        <w:gridCol w:w="567"/>
        <w:gridCol w:w="567"/>
        <w:gridCol w:w="567"/>
        <w:gridCol w:w="1796"/>
        <w:gridCol w:w="1632"/>
        <w:gridCol w:w="1862"/>
        <w:gridCol w:w="162"/>
      </w:tblGrid>
      <w:tr w:rsidR="00CA0523" w:rsidRPr="004C171F" w14:paraId="0DCD3D94" w14:textId="77777777" w:rsidTr="003C7C6F">
        <w:trPr>
          <w:gridAfter w:val="4"/>
          <w:wAfter w:w="5452" w:type="dxa"/>
          <w:trHeight w:val="300"/>
        </w:trPr>
        <w:tc>
          <w:tcPr>
            <w:tcW w:w="850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8CA8E97" w14:textId="2C203822" w:rsidR="00CA0523" w:rsidRPr="00E07ECB" w:rsidRDefault="00CA0523" w:rsidP="00CA0523">
            <w:pPr>
              <w:rPr>
                <w:rFonts w:cs="Arial"/>
                <w:b/>
                <w:lang w:eastAsia="fi-FI"/>
              </w:rPr>
            </w:pPr>
            <w:r w:rsidRPr="00E07ECB">
              <w:rPr>
                <w:rFonts w:cs="Arial"/>
                <w:b/>
                <w:bCs/>
              </w:rPr>
              <w:t>Esitetyistä politiikkatoimista valtiolle aiheutuvat menot (</w:t>
            </w:r>
            <w:r>
              <w:rPr>
                <w:rFonts w:cs="Arial"/>
                <w:b/>
                <w:bCs/>
              </w:rPr>
              <w:t>miljoonaa euroa</w:t>
            </w:r>
            <w:r w:rsidRPr="00E07ECB">
              <w:rPr>
                <w:rFonts w:cs="Arial"/>
                <w:b/>
                <w:bCs/>
              </w:rPr>
              <w:t>)</w:t>
            </w:r>
          </w:p>
        </w:tc>
      </w:tr>
      <w:tr w:rsidR="00CA0523" w:rsidRPr="004C171F" w14:paraId="0EA71C75" w14:textId="77777777" w:rsidTr="003C7C6F">
        <w:trPr>
          <w:gridAfter w:val="4"/>
          <w:wAfter w:w="5452" w:type="dxa"/>
          <w:trHeight w:val="300"/>
        </w:trPr>
        <w:tc>
          <w:tcPr>
            <w:tcW w:w="1134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hideMark/>
          </w:tcPr>
          <w:p w14:paraId="15C02106" w14:textId="5885D765" w:rsidR="00CA0523" w:rsidRPr="004C171F" w:rsidRDefault="00CA0523" w:rsidP="00F2675C">
            <w:pPr>
              <w:rPr>
                <w:rFonts w:cs="Arial"/>
                <w:b/>
                <w:bCs/>
                <w:sz w:val="21"/>
                <w:szCs w:val="21"/>
                <w:lang w:eastAsia="fi-FI"/>
              </w:rPr>
            </w:pPr>
            <w:r w:rsidRPr="004C171F">
              <w:rPr>
                <w:rFonts w:cs="Arial"/>
                <w:b/>
                <w:bCs/>
                <w:sz w:val="21"/>
                <w:szCs w:val="21"/>
                <w:lang w:eastAsia="fi-FI"/>
              </w:rPr>
              <w:lastRenderedPageBreak/>
              <w:t>Momentin numero</w:t>
            </w:r>
            <w:r>
              <w:rPr>
                <w:rFonts w:cs="Arial"/>
                <w:b/>
                <w:bCs/>
                <w:sz w:val="21"/>
                <w:szCs w:val="21"/>
                <w:lang w:eastAsia="fi-FI"/>
              </w:rPr>
              <w:t xml:space="preserve"> ja ministeriö</w:t>
            </w:r>
          </w:p>
        </w:tc>
        <w:tc>
          <w:tcPr>
            <w:tcW w:w="2471" w:type="dxa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14:paraId="0438C753" w14:textId="07652443" w:rsidR="00CA0523" w:rsidRPr="004C171F" w:rsidRDefault="00CA0523" w:rsidP="00F2675C">
            <w:pPr>
              <w:rPr>
                <w:rFonts w:cs="Arial"/>
                <w:b/>
                <w:bCs/>
                <w:sz w:val="21"/>
                <w:szCs w:val="21"/>
                <w:lang w:eastAsia="fi-FI"/>
              </w:rPr>
            </w:pPr>
            <w:r>
              <w:rPr>
                <w:rFonts w:cs="Arial"/>
                <w:b/>
                <w:bCs/>
                <w:sz w:val="21"/>
                <w:szCs w:val="21"/>
                <w:lang w:eastAsia="fi-FI"/>
              </w:rPr>
              <w:t>Toimenpiteen nimi</w:t>
            </w:r>
          </w:p>
        </w:tc>
        <w:tc>
          <w:tcPr>
            <w:tcW w:w="1640" w:type="dxa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14:paraId="40E48366" w14:textId="4F0B7250" w:rsidR="00CA0523" w:rsidRDefault="00CA0523" w:rsidP="00865940">
            <w:pPr>
              <w:rPr>
                <w:rFonts w:cs="Arial"/>
                <w:b/>
                <w:bCs/>
                <w:sz w:val="21"/>
                <w:szCs w:val="21"/>
                <w:lang w:eastAsia="fi-FI"/>
              </w:rPr>
            </w:pPr>
            <w:r>
              <w:rPr>
                <w:rFonts w:cs="Arial"/>
                <w:b/>
                <w:bCs/>
                <w:sz w:val="21"/>
                <w:szCs w:val="21"/>
                <w:lang w:eastAsia="fi-FI"/>
              </w:rPr>
              <w:t>Tarkennus</w:t>
            </w: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hideMark/>
          </w:tcPr>
          <w:p w14:paraId="06BF96E2" w14:textId="2EAC284A" w:rsidR="00CA0523" w:rsidRPr="004C171F" w:rsidRDefault="00CA0523" w:rsidP="003C7C6F">
            <w:pPr>
              <w:rPr>
                <w:rFonts w:cs="Arial"/>
                <w:b/>
                <w:bCs/>
                <w:sz w:val="21"/>
                <w:szCs w:val="21"/>
                <w:lang w:eastAsia="fi-FI"/>
              </w:rPr>
            </w:pPr>
            <w:r>
              <w:rPr>
                <w:rFonts w:cs="Arial"/>
                <w:b/>
                <w:bCs/>
                <w:sz w:val="21"/>
                <w:szCs w:val="21"/>
                <w:lang w:eastAsia="fi-FI"/>
              </w:rPr>
              <w:t>Esitys yhteensä</w:t>
            </w:r>
            <w:r w:rsidR="003C7C6F">
              <w:rPr>
                <w:rFonts w:cs="Arial"/>
                <w:b/>
                <w:bCs/>
                <w:sz w:val="21"/>
                <w:szCs w:val="21"/>
                <w:lang w:eastAsia="fi-FI"/>
              </w:rPr>
              <w:t xml:space="preserve"> neljälle vuodelle</w:t>
            </w:r>
            <w:r w:rsidRPr="004C171F">
              <w:rPr>
                <w:rFonts w:cs="Arial"/>
                <w:b/>
                <w:bCs/>
                <w:sz w:val="21"/>
                <w:szCs w:val="21"/>
                <w:lang w:eastAsia="fi-FI"/>
              </w:rPr>
              <w:t xml:space="preserve"> </w:t>
            </w:r>
          </w:p>
        </w:tc>
        <w:tc>
          <w:tcPr>
            <w:tcW w:w="2268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 w:themeColor="text1"/>
            </w:tcBorders>
            <w:shd w:val="clear" w:color="auto" w:fill="auto"/>
            <w:noWrap/>
            <w:hideMark/>
          </w:tcPr>
          <w:p w14:paraId="7F0C1C50" w14:textId="7411218F" w:rsidR="00CA0523" w:rsidRPr="004C171F" w:rsidRDefault="00CA0523" w:rsidP="00CA0523">
            <w:pPr>
              <w:jc w:val="center"/>
              <w:rPr>
                <w:rFonts w:cs="Arial"/>
                <w:b/>
                <w:bCs/>
                <w:sz w:val="21"/>
                <w:szCs w:val="21"/>
                <w:lang w:eastAsia="fi-FI"/>
              </w:rPr>
            </w:pPr>
            <w:r w:rsidRPr="004C171F">
              <w:rPr>
                <w:rFonts w:cs="Arial"/>
                <w:b/>
                <w:bCs/>
                <w:sz w:val="21"/>
                <w:szCs w:val="21"/>
                <w:lang w:eastAsia="fi-FI"/>
              </w:rPr>
              <w:t>Mää</w:t>
            </w:r>
            <w:r>
              <w:rPr>
                <w:rFonts w:cs="Arial"/>
                <w:b/>
                <w:bCs/>
                <w:sz w:val="21"/>
                <w:szCs w:val="21"/>
                <w:lang w:eastAsia="fi-FI"/>
              </w:rPr>
              <w:t>rärahan/valtuuden jakautuminen</w:t>
            </w:r>
          </w:p>
        </w:tc>
      </w:tr>
      <w:tr w:rsidR="00CA0523" w:rsidRPr="004C171F" w14:paraId="05EA0A23" w14:textId="77777777" w:rsidTr="003C7C6F">
        <w:trPr>
          <w:gridAfter w:val="4"/>
          <w:wAfter w:w="5452" w:type="dxa"/>
          <w:trHeight w:val="413"/>
        </w:trPr>
        <w:tc>
          <w:tcPr>
            <w:tcW w:w="1134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FB5D7E" w14:textId="77777777" w:rsidR="00CA0523" w:rsidRPr="004C171F" w:rsidRDefault="00CA0523" w:rsidP="00865940">
            <w:pPr>
              <w:rPr>
                <w:rFonts w:cs="Arial"/>
                <w:b/>
                <w:bCs/>
                <w:sz w:val="21"/>
                <w:szCs w:val="21"/>
                <w:lang w:eastAsia="fi-FI"/>
              </w:rPr>
            </w:pPr>
          </w:p>
        </w:tc>
        <w:tc>
          <w:tcPr>
            <w:tcW w:w="247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408FBDF" w14:textId="77777777" w:rsidR="00CA0523" w:rsidRPr="004C171F" w:rsidRDefault="00CA0523" w:rsidP="00865940">
            <w:pPr>
              <w:rPr>
                <w:rFonts w:cs="Arial"/>
                <w:b/>
                <w:bCs/>
                <w:sz w:val="21"/>
                <w:szCs w:val="21"/>
                <w:lang w:eastAsia="fi-FI"/>
              </w:rPr>
            </w:pPr>
          </w:p>
        </w:tc>
        <w:tc>
          <w:tcPr>
            <w:tcW w:w="16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E20ACB5" w14:textId="1E3FDE0E" w:rsidR="00CA0523" w:rsidRPr="004C171F" w:rsidRDefault="00CA0523" w:rsidP="00865940">
            <w:pPr>
              <w:rPr>
                <w:rFonts w:cs="Arial"/>
                <w:b/>
                <w:bCs/>
                <w:sz w:val="21"/>
                <w:szCs w:val="21"/>
                <w:lang w:eastAsia="fi-FI"/>
              </w:rPr>
            </w:pPr>
          </w:p>
        </w:tc>
        <w:tc>
          <w:tcPr>
            <w:tcW w:w="992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3E6BF6" w14:textId="69E19511" w:rsidR="00CA0523" w:rsidRPr="004C171F" w:rsidRDefault="00CA0523" w:rsidP="00865940">
            <w:pPr>
              <w:rPr>
                <w:rFonts w:cs="Arial"/>
                <w:b/>
                <w:bCs/>
                <w:sz w:val="21"/>
                <w:szCs w:val="21"/>
                <w:lang w:eastAsia="fi-FI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09742" w14:textId="77777777" w:rsidR="00CA0523" w:rsidRPr="004C171F" w:rsidRDefault="00CA0523" w:rsidP="00865940">
            <w:pPr>
              <w:jc w:val="center"/>
              <w:rPr>
                <w:rFonts w:cs="Arial"/>
                <w:b/>
                <w:bCs/>
                <w:sz w:val="21"/>
                <w:szCs w:val="21"/>
                <w:lang w:eastAsia="fi-FI"/>
              </w:rPr>
            </w:pPr>
            <w:r w:rsidRPr="004C171F">
              <w:rPr>
                <w:rFonts w:cs="Arial"/>
                <w:b/>
                <w:bCs/>
                <w:sz w:val="21"/>
                <w:szCs w:val="21"/>
                <w:lang w:eastAsia="fi-FI"/>
              </w:rPr>
              <w:t>2024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77F1E" w14:textId="77777777" w:rsidR="00CA0523" w:rsidRPr="004C171F" w:rsidRDefault="00CA0523" w:rsidP="00865940">
            <w:pPr>
              <w:jc w:val="center"/>
              <w:rPr>
                <w:rFonts w:cs="Arial"/>
                <w:b/>
                <w:bCs/>
                <w:sz w:val="21"/>
                <w:szCs w:val="21"/>
                <w:lang w:eastAsia="fi-FI"/>
              </w:rPr>
            </w:pPr>
            <w:r w:rsidRPr="004C171F">
              <w:rPr>
                <w:rFonts w:cs="Arial"/>
                <w:b/>
                <w:bCs/>
                <w:sz w:val="21"/>
                <w:szCs w:val="21"/>
                <w:lang w:eastAsia="fi-FI"/>
              </w:rPr>
              <w:t>2025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467F5" w14:textId="77777777" w:rsidR="00CA0523" w:rsidRPr="004C171F" w:rsidRDefault="00CA0523" w:rsidP="00865940">
            <w:pPr>
              <w:jc w:val="center"/>
              <w:rPr>
                <w:rFonts w:cs="Arial"/>
                <w:b/>
                <w:bCs/>
                <w:sz w:val="21"/>
                <w:szCs w:val="21"/>
                <w:lang w:eastAsia="fi-FI"/>
              </w:rPr>
            </w:pPr>
            <w:r w:rsidRPr="004C171F">
              <w:rPr>
                <w:rFonts w:cs="Arial"/>
                <w:b/>
                <w:bCs/>
                <w:sz w:val="21"/>
                <w:szCs w:val="21"/>
                <w:lang w:eastAsia="fi-FI"/>
              </w:rPr>
              <w:t>2026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524F579" w14:textId="77777777" w:rsidR="00CA0523" w:rsidRPr="004C171F" w:rsidRDefault="00CA0523" w:rsidP="00865940">
            <w:pPr>
              <w:jc w:val="center"/>
              <w:rPr>
                <w:rFonts w:cs="Arial"/>
                <w:b/>
                <w:bCs/>
                <w:sz w:val="21"/>
                <w:szCs w:val="21"/>
                <w:lang w:eastAsia="fi-FI"/>
              </w:rPr>
            </w:pPr>
            <w:r w:rsidRPr="004C171F">
              <w:rPr>
                <w:rFonts w:cs="Arial"/>
                <w:b/>
                <w:bCs/>
                <w:sz w:val="21"/>
                <w:szCs w:val="21"/>
                <w:lang w:eastAsia="fi-FI"/>
              </w:rPr>
              <w:t>2027</w:t>
            </w:r>
          </w:p>
        </w:tc>
      </w:tr>
      <w:tr w:rsidR="00CA0523" w:rsidRPr="004C171F" w14:paraId="463EABEA" w14:textId="77777777" w:rsidTr="003C7C6F">
        <w:trPr>
          <w:gridAfter w:val="4"/>
          <w:wAfter w:w="5452" w:type="dxa"/>
          <w:trHeight w:val="546"/>
        </w:trPr>
        <w:tc>
          <w:tcPr>
            <w:tcW w:w="1134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9398C2" w14:textId="277371C8" w:rsidR="00CA0523" w:rsidRPr="004C171F" w:rsidRDefault="00CA0523" w:rsidP="00CA0523">
            <w:pPr>
              <w:rPr>
                <w:rFonts w:cs="Arial"/>
                <w:sz w:val="21"/>
                <w:szCs w:val="21"/>
                <w:lang w:eastAsia="fi-FI"/>
              </w:rPr>
            </w:pPr>
            <w:r w:rsidRPr="00F2675C">
              <w:rPr>
                <w:rFonts w:cs="Arial"/>
                <w:sz w:val="21"/>
                <w:szCs w:val="21"/>
                <w:lang w:eastAsia="fi-FI"/>
              </w:rPr>
              <w:t>32.20.40</w:t>
            </w:r>
            <w:r>
              <w:rPr>
                <w:rFonts w:cs="Arial"/>
                <w:sz w:val="21"/>
                <w:szCs w:val="21"/>
                <w:lang w:eastAsia="fi-FI"/>
              </w:rPr>
              <w:t xml:space="preserve">, </w:t>
            </w:r>
            <w:r>
              <w:rPr>
                <w:rFonts w:cs="Arial"/>
                <w:sz w:val="21"/>
                <w:szCs w:val="21"/>
                <w:lang w:eastAsia="fi-FI"/>
              </w:rPr>
              <w:br/>
              <w:t>TEM</w:t>
            </w:r>
          </w:p>
        </w:tc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0F002" w14:textId="785FC74C" w:rsidR="00CA0523" w:rsidRDefault="00CA0523" w:rsidP="00CA0523">
            <w:pPr>
              <w:rPr>
                <w:rFonts w:cs="Arial"/>
                <w:sz w:val="21"/>
                <w:szCs w:val="21"/>
                <w:lang w:eastAsia="fi-FI"/>
              </w:rPr>
            </w:pPr>
            <w:r>
              <w:rPr>
                <w:rFonts w:cs="Arial"/>
                <w:sz w:val="21"/>
                <w:szCs w:val="21"/>
                <w:lang w:eastAsia="fi-FI"/>
              </w:rPr>
              <w:t>Kiertotalouden kasvuohjelman TKI- ja investointitukirahoitus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4FA6" w14:textId="52A92ED8" w:rsidR="00CA0523" w:rsidRDefault="00CA0523" w:rsidP="00CA0523">
            <w:pPr>
              <w:rPr>
                <w:rFonts w:cs="Arial"/>
                <w:sz w:val="21"/>
                <w:szCs w:val="21"/>
                <w:lang w:eastAsia="fi-FI"/>
              </w:rPr>
            </w:pPr>
            <w:r>
              <w:rPr>
                <w:rFonts w:cs="Arial"/>
                <w:sz w:val="21"/>
                <w:szCs w:val="21"/>
                <w:lang w:eastAsia="fi-FI"/>
              </w:rPr>
              <w:t xml:space="preserve">Myöntövaltuus, </w:t>
            </w:r>
            <w:r>
              <w:rPr>
                <w:rFonts w:cs="Arial"/>
                <w:sz w:val="21"/>
                <w:szCs w:val="21"/>
                <w:lang w:eastAsia="fi-FI"/>
              </w:rPr>
              <w:br/>
              <w:t>Business Finland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84595" w14:textId="47141C5A" w:rsidR="00CA0523" w:rsidRPr="004C171F" w:rsidRDefault="00CA0523" w:rsidP="003C7C6F">
            <w:pPr>
              <w:jc w:val="center"/>
              <w:rPr>
                <w:rFonts w:cs="Arial"/>
                <w:sz w:val="21"/>
                <w:szCs w:val="21"/>
                <w:lang w:eastAsia="fi-FI"/>
              </w:rPr>
            </w:pPr>
            <w:r>
              <w:rPr>
                <w:rFonts w:cs="Arial"/>
                <w:sz w:val="21"/>
                <w:szCs w:val="21"/>
                <w:lang w:eastAsia="fi-FI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24FC0" w14:textId="6A0A7DC4" w:rsidR="00CA0523" w:rsidRPr="004C171F" w:rsidRDefault="00CA0523" w:rsidP="00CA0523">
            <w:pPr>
              <w:jc w:val="center"/>
              <w:rPr>
                <w:rFonts w:cs="Arial"/>
                <w:sz w:val="21"/>
                <w:szCs w:val="21"/>
                <w:lang w:eastAsia="fi-FI"/>
              </w:rPr>
            </w:pPr>
            <w:r>
              <w:rPr>
                <w:rFonts w:cs="Arial"/>
                <w:sz w:val="21"/>
                <w:szCs w:val="21"/>
                <w:lang w:eastAsia="fi-FI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A64DF" w14:textId="36B71F0D" w:rsidR="00CA0523" w:rsidRPr="004C171F" w:rsidRDefault="00CA0523" w:rsidP="00CA0523">
            <w:pPr>
              <w:jc w:val="center"/>
              <w:rPr>
                <w:rFonts w:cs="Arial"/>
                <w:sz w:val="21"/>
                <w:szCs w:val="21"/>
                <w:lang w:eastAsia="fi-FI"/>
              </w:rPr>
            </w:pPr>
            <w:r>
              <w:rPr>
                <w:rFonts w:cs="Arial"/>
                <w:sz w:val="21"/>
                <w:szCs w:val="21"/>
                <w:lang w:eastAsia="fi-FI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C9D0D" w14:textId="3B4DC7C5" w:rsidR="00CA0523" w:rsidRPr="004C171F" w:rsidRDefault="00CA0523" w:rsidP="00CA0523">
            <w:pPr>
              <w:jc w:val="center"/>
              <w:rPr>
                <w:rFonts w:cs="Arial"/>
                <w:sz w:val="21"/>
                <w:szCs w:val="21"/>
                <w:lang w:eastAsia="fi-FI"/>
              </w:rPr>
            </w:pPr>
            <w:r>
              <w:rPr>
                <w:rFonts w:cs="Arial"/>
                <w:sz w:val="21"/>
                <w:szCs w:val="21"/>
                <w:lang w:eastAsia="fi-FI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911ADA0" w14:textId="6F055FC2" w:rsidR="00CA0523" w:rsidRPr="004C171F" w:rsidRDefault="00CA0523" w:rsidP="00CA0523">
            <w:pPr>
              <w:jc w:val="center"/>
              <w:rPr>
                <w:rFonts w:cs="Arial"/>
                <w:sz w:val="21"/>
                <w:szCs w:val="21"/>
                <w:lang w:eastAsia="fi-FI"/>
              </w:rPr>
            </w:pPr>
            <w:r>
              <w:rPr>
                <w:rFonts w:cs="Arial"/>
                <w:sz w:val="21"/>
                <w:szCs w:val="21"/>
                <w:lang w:eastAsia="fi-FI"/>
              </w:rPr>
              <w:t>50</w:t>
            </w:r>
          </w:p>
        </w:tc>
      </w:tr>
      <w:tr w:rsidR="00CA0523" w:rsidRPr="004C171F" w14:paraId="5166E12A" w14:textId="77777777" w:rsidTr="003C7C6F">
        <w:trPr>
          <w:gridAfter w:val="4"/>
          <w:wAfter w:w="5452" w:type="dxa"/>
          <w:trHeight w:val="430"/>
        </w:trPr>
        <w:tc>
          <w:tcPr>
            <w:tcW w:w="113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22517" w14:textId="38688C27" w:rsidR="00CA0523" w:rsidRPr="00F2675C" w:rsidRDefault="00CA0523" w:rsidP="00CA0523">
            <w:pPr>
              <w:rPr>
                <w:rFonts w:cs="Arial"/>
                <w:sz w:val="21"/>
                <w:szCs w:val="21"/>
                <w:lang w:eastAsia="fi-FI"/>
              </w:rPr>
            </w:pPr>
            <w:r>
              <w:rPr>
                <w:rFonts w:cs="Arial"/>
                <w:sz w:val="21"/>
                <w:szCs w:val="21"/>
                <w:lang w:eastAsia="fi-FI"/>
              </w:rPr>
              <w:t xml:space="preserve">32.20.40, </w:t>
            </w:r>
            <w:r>
              <w:rPr>
                <w:rFonts w:cs="Arial"/>
                <w:sz w:val="21"/>
                <w:szCs w:val="21"/>
                <w:lang w:eastAsia="fi-FI"/>
              </w:rPr>
              <w:br/>
              <w:t>TEM</w:t>
            </w:r>
          </w:p>
        </w:tc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CF06" w14:textId="5FEC784D" w:rsidR="00CA0523" w:rsidRPr="004C171F" w:rsidRDefault="00CA0523" w:rsidP="00CA0523">
            <w:pPr>
              <w:rPr>
                <w:rFonts w:cs="Arial"/>
                <w:sz w:val="21"/>
                <w:szCs w:val="21"/>
                <w:lang w:eastAsia="fi-FI"/>
              </w:rPr>
            </w:pPr>
            <w:r w:rsidRPr="000A539E">
              <w:rPr>
                <w:rFonts w:cs="Arial"/>
                <w:sz w:val="21"/>
                <w:szCs w:val="21"/>
                <w:lang w:eastAsia="fi-FI"/>
              </w:rPr>
              <w:t>Innovatiivisten julkisten hankintojen rahoitustuki</w:t>
            </w:r>
            <w:r w:rsidR="00F43FF6">
              <w:rPr>
                <w:rFonts w:cs="Arial"/>
                <w:sz w:val="21"/>
                <w:szCs w:val="21"/>
                <w:lang w:eastAsia="fi-FI"/>
              </w:rPr>
              <w:t xml:space="preserve"> riskien jakamiseksi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D159" w14:textId="33E0CC90" w:rsidR="00CA0523" w:rsidRDefault="00CA0523" w:rsidP="00CA0523">
            <w:pPr>
              <w:rPr>
                <w:rFonts w:cs="Arial"/>
                <w:sz w:val="21"/>
                <w:szCs w:val="21"/>
                <w:lang w:eastAsia="fi-FI"/>
              </w:rPr>
            </w:pPr>
            <w:r>
              <w:rPr>
                <w:rFonts w:cs="Arial"/>
                <w:sz w:val="21"/>
                <w:szCs w:val="21"/>
                <w:lang w:eastAsia="fi-FI"/>
              </w:rPr>
              <w:t xml:space="preserve">Myöntövaltuus, </w:t>
            </w:r>
            <w:r>
              <w:rPr>
                <w:rFonts w:cs="Arial"/>
                <w:sz w:val="21"/>
                <w:szCs w:val="21"/>
                <w:lang w:eastAsia="fi-FI"/>
              </w:rPr>
              <w:br/>
              <w:t>Business Finland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41A23" w14:textId="37CF9EDB" w:rsidR="00CA0523" w:rsidRPr="004C171F" w:rsidRDefault="00CA0523" w:rsidP="003C7C6F">
            <w:pPr>
              <w:jc w:val="center"/>
              <w:rPr>
                <w:rFonts w:cs="Arial"/>
                <w:sz w:val="21"/>
                <w:szCs w:val="21"/>
                <w:lang w:eastAsia="fi-FI"/>
              </w:rPr>
            </w:pPr>
            <w:r>
              <w:rPr>
                <w:rFonts w:cs="Arial"/>
                <w:sz w:val="21"/>
                <w:szCs w:val="21"/>
                <w:lang w:eastAsia="fi-FI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B550F" w14:textId="2FAD7734" w:rsidR="00CA0523" w:rsidRDefault="00CA0523" w:rsidP="00CA0523">
            <w:pPr>
              <w:jc w:val="center"/>
              <w:rPr>
                <w:rFonts w:cs="Arial"/>
                <w:sz w:val="21"/>
                <w:szCs w:val="21"/>
                <w:lang w:eastAsia="fi-FI"/>
              </w:rPr>
            </w:pPr>
            <w:r>
              <w:rPr>
                <w:rFonts w:cs="Arial"/>
                <w:sz w:val="21"/>
                <w:szCs w:val="21"/>
                <w:lang w:eastAsia="fi-FI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AD79A" w14:textId="1DC5D638" w:rsidR="00CA0523" w:rsidRDefault="00CA0523" w:rsidP="00CA0523">
            <w:pPr>
              <w:jc w:val="center"/>
              <w:rPr>
                <w:rFonts w:cs="Arial"/>
                <w:sz w:val="21"/>
                <w:szCs w:val="21"/>
                <w:lang w:eastAsia="fi-FI"/>
              </w:rPr>
            </w:pPr>
            <w:r>
              <w:rPr>
                <w:rFonts w:cs="Arial"/>
                <w:sz w:val="21"/>
                <w:szCs w:val="21"/>
                <w:lang w:eastAsia="fi-FI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DD66F" w14:textId="00997C86" w:rsidR="00CA0523" w:rsidRDefault="00CA0523" w:rsidP="00CA0523">
            <w:pPr>
              <w:jc w:val="center"/>
              <w:rPr>
                <w:rFonts w:cs="Arial"/>
                <w:sz w:val="21"/>
                <w:szCs w:val="21"/>
                <w:lang w:eastAsia="fi-FI"/>
              </w:rPr>
            </w:pPr>
            <w:r>
              <w:rPr>
                <w:rFonts w:cs="Arial"/>
                <w:sz w:val="21"/>
                <w:szCs w:val="21"/>
                <w:lang w:eastAsia="fi-FI"/>
              </w:rPr>
              <w:t xml:space="preserve">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8982F9A" w14:textId="13C3B31C" w:rsidR="00CA0523" w:rsidRDefault="00CA0523" w:rsidP="00CA0523">
            <w:pPr>
              <w:jc w:val="center"/>
              <w:rPr>
                <w:rFonts w:cs="Arial"/>
                <w:sz w:val="21"/>
                <w:szCs w:val="21"/>
                <w:lang w:eastAsia="fi-FI"/>
              </w:rPr>
            </w:pPr>
            <w:r>
              <w:rPr>
                <w:rFonts w:cs="Arial"/>
                <w:sz w:val="21"/>
                <w:szCs w:val="21"/>
                <w:lang w:eastAsia="fi-FI"/>
              </w:rPr>
              <w:t>20</w:t>
            </w:r>
          </w:p>
        </w:tc>
      </w:tr>
      <w:tr w:rsidR="00CA0523" w:rsidRPr="004C171F" w14:paraId="3631CFE3" w14:textId="77777777" w:rsidTr="00C11EB1">
        <w:trPr>
          <w:gridAfter w:val="4"/>
          <w:wAfter w:w="5452" w:type="dxa"/>
          <w:trHeight w:val="861"/>
        </w:trPr>
        <w:tc>
          <w:tcPr>
            <w:tcW w:w="113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5EA07" w14:textId="0E089781" w:rsidR="00CA0523" w:rsidRPr="004C171F" w:rsidRDefault="00F43FF6" w:rsidP="00F43FF6">
            <w:pPr>
              <w:rPr>
                <w:rFonts w:cs="Arial"/>
                <w:sz w:val="21"/>
                <w:szCs w:val="21"/>
                <w:lang w:eastAsia="fi-FI"/>
              </w:rPr>
            </w:pPr>
            <w:proofErr w:type="spellStart"/>
            <w:r>
              <w:rPr>
                <w:rFonts w:cs="Arial"/>
                <w:sz w:val="21"/>
                <w:szCs w:val="21"/>
                <w:highlight w:val="yellow"/>
                <w:lang w:eastAsia="fi-FI"/>
              </w:rPr>
              <w:t>xx</w:t>
            </w:r>
            <w:r w:rsidR="00CA0523" w:rsidRPr="00F43FF6">
              <w:rPr>
                <w:rFonts w:cs="Arial"/>
                <w:sz w:val="21"/>
                <w:szCs w:val="21"/>
                <w:highlight w:val="yellow"/>
                <w:lang w:eastAsia="fi-FI"/>
              </w:rPr>
              <w:t>.</w:t>
            </w:r>
            <w:r>
              <w:rPr>
                <w:rFonts w:cs="Arial"/>
                <w:sz w:val="21"/>
                <w:szCs w:val="21"/>
                <w:highlight w:val="yellow"/>
                <w:lang w:eastAsia="fi-FI"/>
              </w:rPr>
              <w:t>xx</w:t>
            </w:r>
            <w:r w:rsidR="00CA0523" w:rsidRPr="00F43FF6">
              <w:rPr>
                <w:rFonts w:cs="Arial"/>
                <w:sz w:val="21"/>
                <w:szCs w:val="21"/>
                <w:highlight w:val="yellow"/>
                <w:lang w:eastAsia="fi-FI"/>
              </w:rPr>
              <w:t>.</w:t>
            </w:r>
            <w:r>
              <w:rPr>
                <w:rFonts w:cs="Arial"/>
                <w:sz w:val="21"/>
                <w:szCs w:val="21"/>
                <w:highlight w:val="yellow"/>
                <w:lang w:eastAsia="fi-FI"/>
              </w:rPr>
              <w:t>xx</w:t>
            </w:r>
            <w:proofErr w:type="spellEnd"/>
            <w:r w:rsidR="00CA0523" w:rsidRPr="00F43FF6">
              <w:rPr>
                <w:rFonts w:cs="Arial"/>
                <w:sz w:val="21"/>
                <w:szCs w:val="21"/>
                <w:highlight w:val="yellow"/>
                <w:lang w:eastAsia="fi-FI"/>
              </w:rPr>
              <w:t>,</w:t>
            </w:r>
            <w:r w:rsidR="00CA0523">
              <w:rPr>
                <w:rFonts w:cs="Arial"/>
                <w:sz w:val="21"/>
                <w:szCs w:val="21"/>
                <w:lang w:eastAsia="fi-FI"/>
              </w:rPr>
              <w:t xml:space="preserve"> </w:t>
            </w:r>
            <w:r w:rsidR="00CA0523">
              <w:rPr>
                <w:rFonts w:cs="Arial"/>
                <w:sz w:val="21"/>
                <w:szCs w:val="21"/>
                <w:lang w:eastAsia="fi-FI"/>
              </w:rPr>
              <w:br/>
              <w:t>TEM</w:t>
            </w:r>
          </w:p>
        </w:tc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1B50" w14:textId="5DE26EB7" w:rsidR="00CA0523" w:rsidRPr="004C171F" w:rsidRDefault="00CA0523" w:rsidP="00CA0523">
            <w:pPr>
              <w:rPr>
                <w:rFonts w:cs="Arial"/>
                <w:sz w:val="21"/>
                <w:szCs w:val="21"/>
                <w:lang w:eastAsia="fi-FI"/>
              </w:rPr>
            </w:pPr>
            <w:r w:rsidRPr="000A539E">
              <w:rPr>
                <w:rFonts w:cs="Arial"/>
                <w:sz w:val="21"/>
                <w:szCs w:val="21"/>
                <w:lang w:eastAsia="fi-FI"/>
              </w:rPr>
              <w:t>Julkisten hankintojen KEINO-osaamiskeskuksen vahvistaminen ja jatko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7E6C" w14:textId="78F66C7C" w:rsidR="00CA0523" w:rsidRDefault="00CA0523" w:rsidP="00CA0523">
            <w:pPr>
              <w:rPr>
                <w:rFonts w:cs="Arial"/>
                <w:sz w:val="21"/>
                <w:szCs w:val="21"/>
                <w:lang w:eastAsia="fi-FI"/>
              </w:rPr>
            </w:pPr>
            <w:r>
              <w:rPr>
                <w:rFonts w:cs="Arial"/>
                <w:sz w:val="21"/>
                <w:szCs w:val="21"/>
                <w:lang w:eastAsia="fi-FI"/>
              </w:rPr>
              <w:t>Määräraha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FBB5A" w14:textId="330E1C0A" w:rsidR="00CA0523" w:rsidRPr="004C171F" w:rsidRDefault="00CA0523" w:rsidP="003C7C6F">
            <w:pPr>
              <w:jc w:val="center"/>
              <w:rPr>
                <w:rFonts w:cs="Arial"/>
                <w:sz w:val="21"/>
                <w:szCs w:val="21"/>
                <w:lang w:eastAsia="fi-FI"/>
              </w:rPr>
            </w:pPr>
            <w:r>
              <w:rPr>
                <w:rFonts w:cs="Arial"/>
                <w:sz w:val="21"/>
                <w:szCs w:val="21"/>
                <w:lang w:eastAsia="fi-FI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336FF" w14:textId="70A330B1" w:rsidR="00CA0523" w:rsidRPr="004C171F" w:rsidRDefault="00CA0523" w:rsidP="00CA0523">
            <w:pPr>
              <w:jc w:val="center"/>
              <w:rPr>
                <w:rFonts w:cs="Arial"/>
                <w:sz w:val="21"/>
                <w:szCs w:val="21"/>
                <w:lang w:eastAsia="fi-FI"/>
              </w:rPr>
            </w:pPr>
            <w:r>
              <w:rPr>
                <w:rFonts w:cs="Arial"/>
                <w:sz w:val="21"/>
                <w:szCs w:val="21"/>
                <w:lang w:eastAsia="fi-FI"/>
              </w:rPr>
              <w:t xml:space="preserve">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98407" w14:textId="4D7766F6" w:rsidR="00CA0523" w:rsidRPr="004C171F" w:rsidRDefault="00CA0523" w:rsidP="00CA0523">
            <w:pPr>
              <w:jc w:val="center"/>
              <w:rPr>
                <w:rFonts w:cs="Arial"/>
                <w:sz w:val="21"/>
                <w:szCs w:val="21"/>
                <w:lang w:eastAsia="fi-FI"/>
              </w:rPr>
            </w:pPr>
            <w:r>
              <w:rPr>
                <w:rFonts w:cs="Arial"/>
                <w:sz w:val="21"/>
                <w:szCs w:val="21"/>
                <w:lang w:eastAsia="fi-FI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1951A" w14:textId="7016E299" w:rsidR="00CA0523" w:rsidRPr="004C171F" w:rsidRDefault="00CA0523" w:rsidP="00CA0523">
            <w:pPr>
              <w:jc w:val="center"/>
              <w:rPr>
                <w:rFonts w:cs="Arial"/>
                <w:sz w:val="21"/>
                <w:szCs w:val="21"/>
                <w:lang w:eastAsia="fi-FI"/>
              </w:rPr>
            </w:pPr>
            <w:r>
              <w:rPr>
                <w:rFonts w:cs="Arial"/>
                <w:sz w:val="21"/>
                <w:szCs w:val="21"/>
                <w:lang w:eastAsia="fi-FI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C7A984E" w14:textId="4DAA133D" w:rsidR="00CA0523" w:rsidRPr="004C171F" w:rsidRDefault="00CA0523" w:rsidP="00CA0523">
            <w:pPr>
              <w:jc w:val="center"/>
              <w:rPr>
                <w:rFonts w:cs="Arial"/>
                <w:sz w:val="21"/>
                <w:szCs w:val="21"/>
                <w:lang w:eastAsia="fi-FI"/>
              </w:rPr>
            </w:pPr>
            <w:r>
              <w:rPr>
                <w:rFonts w:cs="Arial"/>
                <w:sz w:val="21"/>
                <w:szCs w:val="21"/>
                <w:lang w:eastAsia="fi-FI"/>
              </w:rPr>
              <w:t>2</w:t>
            </w:r>
          </w:p>
        </w:tc>
      </w:tr>
      <w:tr w:rsidR="00CA0523" w:rsidRPr="004C171F" w14:paraId="7F73EB4A" w14:textId="77777777" w:rsidTr="003C7C6F">
        <w:trPr>
          <w:gridAfter w:val="4"/>
          <w:wAfter w:w="5452" w:type="dxa"/>
          <w:trHeight w:val="635"/>
        </w:trPr>
        <w:tc>
          <w:tcPr>
            <w:tcW w:w="1134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E7E6E6" w:themeFill="background2"/>
            <w:noWrap/>
            <w:vAlign w:val="bottom"/>
            <w:hideMark/>
          </w:tcPr>
          <w:p w14:paraId="1BA20DAD" w14:textId="202CD42A" w:rsidR="00CA0523" w:rsidRPr="004C171F" w:rsidRDefault="00CA0523" w:rsidP="00CA0523">
            <w:pPr>
              <w:rPr>
                <w:rFonts w:cs="Arial"/>
                <w:b/>
                <w:bCs/>
                <w:sz w:val="21"/>
                <w:szCs w:val="21"/>
                <w:lang w:eastAsia="fi-FI"/>
              </w:rPr>
            </w:pPr>
            <w:r w:rsidRPr="004C171F">
              <w:rPr>
                <w:rFonts w:cs="Arial"/>
                <w:b/>
                <w:bCs/>
                <w:sz w:val="21"/>
                <w:szCs w:val="21"/>
                <w:lang w:eastAsia="fi-FI"/>
              </w:rPr>
              <w:t>Menot yhteensä</w:t>
            </w:r>
          </w:p>
        </w:tc>
        <w:tc>
          <w:tcPr>
            <w:tcW w:w="247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E7E6E6" w:themeFill="background2"/>
          </w:tcPr>
          <w:p w14:paraId="03EE7E09" w14:textId="77777777" w:rsidR="00CA0523" w:rsidRPr="004C171F" w:rsidRDefault="00CA0523" w:rsidP="00CA0523">
            <w:pPr>
              <w:rPr>
                <w:rFonts w:cs="Arial"/>
                <w:sz w:val="21"/>
                <w:szCs w:val="21"/>
                <w:lang w:eastAsia="fi-FI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E7E6E6" w:themeFill="background2"/>
          </w:tcPr>
          <w:p w14:paraId="374E2F99" w14:textId="2946A4AD" w:rsidR="00CA0523" w:rsidRPr="004C171F" w:rsidRDefault="00CA0523" w:rsidP="00CA0523">
            <w:pPr>
              <w:rPr>
                <w:rFonts w:cs="Arial"/>
                <w:sz w:val="21"/>
                <w:szCs w:val="21"/>
                <w:lang w:eastAsia="fi-F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2F375CC" w14:textId="207B4D66" w:rsidR="00CA0523" w:rsidRPr="004C171F" w:rsidRDefault="00AB2712" w:rsidP="00AB2712">
            <w:pPr>
              <w:spacing w:after="0"/>
              <w:jc w:val="center"/>
              <w:rPr>
                <w:rFonts w:cs="Arial"/>
                <w:sz w:val="21"/>
                <w:szCs w:val="21"/>
                <w:lang w:eastAsia="fi-FI"/>
              </w:rPr>
            </w:pPr>
            <w:r>
              <w:rPr>
                <w:rFonts w:cs="Arial"/>
                <w:b/>
                <w:sz w:val="21"/>
                <w:szCs w:val="21"/>
                <w:lang w:eastAsia="fi-FI"/>
              </w:rPr>
              <w:t>28</w:t>
            </w:r>
            <w:r w:rsidR="003C7C6F" w:rsidRPr="003C7C6F">
              <w:rPr>
                <w:rFonts w:cs="Arial"/>
                <w:b/>
                <w:sz w:val="21"/>
                <w:szCs w:val="21"/>
                <w:lang w:eastAsia="fi-FI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14:paraId="40FAE5AE" w14:textId="72B8F9B8" w:rsidR="00CA0523" w:rsidRPr="005F194D" w:rsidRDefault="00AB2712" w:rsidP="00AB2712">
            <w:pPr>
              <w:spacing w:after="0"/>
              <w:jc w:val="center"/>
              <w:rPr>
                <w:rFonts w:cs="Arial"/>
                <w:b/>
                <w:sz w:val="21"/>
                <w:szCs w:val="21"/>
                <w:lang w:eastAsia="fi-FI"/>
              </w:rPr>
            </w:pPr>
            <w:r>
              <w:rPr>
                <w:rFonts w:cs="Arial"/>
                <w:b/>
                <w:sz w:val="21"/>
                <w:szCs w:val="21"/>
                <w:lang w:eastAsia="fi-FI"/>
              </w:rPr>
              <w:t>7</w:t>
            </w:r>
            <w:r w:rsidR="00CA0523">
              <w:rPr>
                <w:rFonts w:cs="Arial"/>
                <w:b/>
                <w:sz w:val="21"/>
                <w:szCs w:val="21"/>
                <w:lang w:eastAsia="fi-FI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14:paraId="744A247E" w14:textId="1AF3586E" w:rsidR="00CA0523" w:rsidRPr="005F194D" w:rsidRDefault="00AB2712" w:rsidP="00AB2712">
            <w:pPr>
              <w:spacing w:after="0"/>
              <w:jc w:val="center"/>
              <w:rPr>
                <w:rFonts w:cs="Arial"/>
                <w:b/>
                <w:sz w:val="21"/>
                <w:szCs w:val="21"/>
                <w:lang w:eastAsia="fi-FI"/>
              </w:rPr>
            </w:pPr>
            <w:r>
              <w:rPr>
                <w:rFonts w:cs="Arial"/>
                <w:b/>
                <w:sz w:val="21"/>
                <w:szCs w:val="21"/>
                <w:lang w:eastAsia="fi-FI"/>
              </w:rPr>
              <w:t>7</w:t>
            </w:r>
            <w:r w:rsidR="00CA0523">
              <w:rPr>
                <w:rFonts w:cs="Arial"/>
                <w:b/>
                <w:sz w:val="21"/>
                <w:szCs w:val="21"/>
                <w:lang w:eastAsia="fi-FI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14:paraId="5B66DF45" w14:textId="11EDF244" w:rsidR="00CA0523" w:rsidRPr="005F194D" w:rsidRDefault="00AB2712" w:rsidP="00AB2712">
            <w:pPr>
              <w:spacing w:after="0"/>
              <w:jc w:val="center"/>
              <w:rPr>
                <w:rFonts w:cs="Arial"/>
                <w:b/>
                <w:sz w:val="20"/>
                <w:lang w:eastAsia="fi-FI"/>
              </w:rPr>
            </w:pPr>
            <w:r>
              <w:rPr>
                <w:rFonts w:cs="Arial"/>
                <w:b/>
                <w:sz w:val="21"/>
                <w:szCs w:val="21"/>
                <w:lang w:eastAsia="fi-FI"/>
              </w:rPr>
              <w:t>7</w:t>
            </w:r>
            <w:r w:rsidR="00CA0523">
              <w:rPr>
                <w:rFonts w:cs="Arial"/>
                <w:b/>
                <w:sz w:val="21"/>
                <w:szCs w:val="21"/>
                <w:lang w:eastAsia="fi-FI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E7E6E6" w:themeFill="background2"/>
            <w:noWrap/>
            <w:vAlign w:val="center"/>
          </w:tcPr>
          <w:p w14:paraId="149050AE" w14:textId="43894C03" w:rsidR="00CA0523" w:rsidRPr="005F194D" w:rsidRDefault="00AB2712" w:rsidP="00CA0523">
            <w:pPr>
              <w:spacing w:after="0"/>
              <w:jc w:val="center"/>
              <w:rPr>
                <w:rFonts w:cs="Arial"/>
                <w:b/>
                <w:sz w:val="21"/>
                <w:szCs w:val="21"/>
                <w:lang w:eastAsia="fi-FI"/>
              </w:rPr>
            </w:pPr>
            <w:r>
              <w:rPr>
                <w:rFonts w:cs="Arial"/>
                <w:b/>
                <w:sz w:val="21"/>
                <w:szCs w:val="21"/>
                <w:lang w:eastAsia="fi-FI"/>
              </w:rPr>
              <w:t>7</w:t>
            </w:r>
            <w:r w:rsidR="00CA0523">
              <w:rPr>
                <w:rFonts w:cs="Arial"/>
                <w:b/>
                <w:sz w:val="21"/>
                <w:szCs w:val="21"/>
                <w:lang w:eastAsia="fi-FI"/>
              </w:rPr>
              <w:t>2</w:t>
            </w:r>
          </w:p>
        </w:tc>
      </w:tr>
      <w:tr w:rsidR="00CA0523" w:rsidRPr="004C171F" w14:paraId="192BEF29" w14:textId="77777777" w:rsidTr="003C7C6F">
        <w:trPr>
          <w:trHeight w:val="19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66C0C" w14:textId="77777777" w:rsidR="00CA0523" w:rsidRPr="004C171F" w:rsidRDefault="00CA0523" w:rsidP="00CA0523">
            <w:pPr>
              <w:rPr>
                <w:rFonts w:cs="Arial"/>
                <w:sz w:val="21"/>
                <w:szCs w:val="21"/>
                <w:lang w:eastAsia="fi-FI"/>
              </w:rPr>
            </w:pPr>
          </w:p>
        </w:tc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</w:tcPr>
          <w:p w14:paraId="2F69E589" w14:textId="77777777" w:rsidR="00CA0523" w:rsidRPr="004C171F" w:rsidRDefault="00CA0523" w:rsidP="00CA0523">
            <w:pPr>
              <w:rPr>
                <w:rFonts w:cs="Arial"/>
                <w:sz w:val="21"/>
                <w:szCs w:val="21"/>
                <w:lang w:eastAsia="fi-FI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14:paraId="671962FD" w14:textId="7A5E22D5" w:rsidR="00CA0523" w:rsidRPr="004C171F" w:rsidRDefault="00CA0523" w:rsidP="00CA0523">
            <w:pPr>
              <w:rPr>
                <w:rFonts w:cs="Arial"/>
                <w:sz w:val="21"/>
                <w:szCs w:val="21"/>
                <w:lang w:eastAsia="fi-FI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BCD13" w14:textId="2FEB0B33" w:rsidR="00CA0523" w:rsidRPr="004C171F" w:rsidRDefault="00CA0523" w:rsidP="00CA0523">
            <w:pPr>
              <w:rPr>
                <w:rFonts w:cs="Arial"/>
                <w:sz w:val="21"/>
                <w:szCs w:val="21"/>
                <w:lang w:eastAsia="fi-FI"/>
              </w:rPr>
            </w:pPr>
          </w:p>
        </w:tc>
        <w:tc>
          <w:tcPr>
            <w:tcW w:w="40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6F4AC" w14:textId="77777777" w:rsidR="00CA0523" w:rsidRPr="004C171F" w:rsidRDefault="00CA0523" w:rsidP="00CA0523">
            <w:pPr>
              <w:rPr>
                <w:rFonts w:cs="Arial"/>
                <w:sz w:val="21"/>
                <w:szCs w:val="21"/>
                <w:lang w:eastAsia="fi-FI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528C1" w14:textId="77777777" w:rsidR="00CA0523" w:rsidRPr="004C171F" w:rsidRDefault="00CA0523" w:rsidP="00CA0523">
            <w:pPr>
              <w:rPr>
                <w:rFonts w:cs="Arial"/>
                <w:sz w:val="21"/>
                <w:szCs w:val="21"/>
                <w:lang w:eastAsia="fi-FI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933C8" w14:textId="77777777" w:rsidR="00CA0523" w:rsidRPr="004C171F" w:rsidRDefault="00CA0523" w:rsidP="00CA0523">
            <w:pPr>
              <w:rPr>
                <w:rFonts w:cs="Arial"/>
                <w:sz w:val="21"/>
                <w:szCs w:val="21"/>
                <w:lang w:eastAsia="fi-FI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4707B" w14:textId="77777777" w:rsidR="00CA0523" w:rsidRPr="004C171F" w:rsidRDefault="00CA0523" w:rsidP="00CA0523">
            <w:pPr>
              <w:rPr>
                <w:rFonts w:cs="Arial"/>
                <w:sz w:val="21"/>
                <w:szCs w:val="21"/>
                <w:lang w:eastAsia="fi-FI"/>
              </w:rPr>
            </w:pPr>
          </w:p>
        </w:tc>
      </w:tr>
    </w:tbl>
    <w:p w14:paraId="1CB736DF" w14:textId="3DEC514C" w:rsidR="00F2462A" w:rsidRPr="0010261A" w:rsidRDefault="00D73B80" w:rsidP="0010261A">
      <w:pPr>
        <w:spacing w:after="0"/>
        <w:rPr>
          <w:highlight w:val="yellow"/>
        </w:rPr>
      </w:pPr>
      <w:r w:rsidRPr="0010261A">
        <w:rPr>
          <w:color w:val="000000" w:themeColor="text1"/>
        </w:rPr>
        <w:br/>
      </w:r>
    </w:p>
    <w:p w14:paraId="6D6706B7" w14:textId="540B6B76" w:rsidR="00F2462A" w:rsidRDefault="00F2462A" w:rsidP="00F2462A">
      <w:pPr>
        <w:spacing w:after="0"/>
        <w:rPr>
          <w:highlight w:val="yellow"/>
        </w:rPr>
      </w:pPr>
    </w:p>
    <w:p w14:paraId="1D014684" w14:textId="77777777" w:rsidR="00F2462A" w:rsidRPr="00F2462A" w:rsidRDefault="00F2462A" w:rsidP="00F2462A">
      <w:pPr>
        <w:spacing w:after="0"/>
        <w:rPr>
          <w:highlight w:val="yellow"/>
        </w:rPr>
      </w:pPr>
    </w:p>
    <w:sectPr w:rsidR="00F2462A" w:rsidRPr="00F2462A">
      <w:headerReference w:type="default" r:id="rId12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3F4DB2" w14:textId="77777777" w:rsidR="00865940" w:rsidRDefault="00865940" w:rsidP="00CB509A">
      <w:pPr>
        <w:spacing w:after="0" w:line="240" w:lineRule="auto"/>
      </w:pPr>
      <w:r>
        <w:separator/>
      </w:r>
    </w:p>
  </w:endnote>
  <w:endnote w:type="continuationSeparator" w:id="0">
    <w:p w14:paraId="1656224C" w14:textId="77777777" w:rsidR="00865940" w:rsidRDefault="00865940" w:rsidP="00CB509A">
      <w:pPr>
        <w:spacing w:after="0" w:line="240" w:lineRule="auto"/>
      </w:pPr>
      <w:r>
        <w:continuationSeparator/>
      </w:r>
    </w:p>
  </w:endnote>
  <w:endnote w:type="continuationNotice" w:id="1">
    <w:p w14:paraId="07E928A8" w14:textId="77777777" w:rsidR="00865940" w:rsidRDefault="008659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5C2813" w14:textId="77777777" w:rsidR="00865940" w:rsidRDefault="00865940" w:rsidP="00CB509A">
      <w:pPr>
        <w:spacing w:after="0" w:line="240" w:lineRule="auto"/>
      </w:pPr>
      <w:r>
        <w:separator/>
      </w:r>
    </w:p>
  </w:footnote>
  <w:footnote w:type="continuationSeparator" w:id="0">
    <w:p w14:paraId="301E28DA" w14:textId="77777777" w:rsidR="00865940" w:rsidRDefault="00865940" w:rsidP="00CB509A">
      <w:pPr>
        <w:spacing w:after="0" w:line="240" w:lineRule="auto"/>
      </w:pPr>
      <w:r>
        <w:continuationSeparator/>
      </w:r>
    </w:p>
  </w:footnote>
  <w:footnote w:type="continuationNotice" w:id="1">
    <w:p w14:paraId="20095E41" w14:textId="77777777" w:rsidR="00865940" w:rsidRDefault="00865940">
      <w:pPr>
        <w:spacing w:after="0" w:line="240" w:lineRule="auto"/>
      </w:pPr>
    </w:p>
  </w:footnote>
  <w:footnote w:id="2">
    <w:p w14:paraId="774B9E07" w14:textId="19ADAFAA" w:rsidR="00865940" w:rsidRPr="003A2A54" w:rsidRDefault="00865940">
      <w:pPr>
        <w:pStyle w:val="Alaviitteenteksti"/>
        <w:rPr>
          <w:sz w:val="17"/>
          <w:szCs w:val="17"/>
        </w:rPr>
      </w:pPr>
      <w:r w:rsidRPr="003A2A54">
        <w:rPr>
          <w:rStyle w:val="Alaviitteenviite"/>
          <w:sz w:val="17"/>
          <w:szCs w:val="17"/>
        </w:rPr>
        <w:footnoteRef/>
      </w:r>
      <w:r w:rsidRPr="003A2A54">
        <w:rPr>
          <w:sz w:val="17"/>
          <w:szCs w:val="17"/>
        </w:rPr>
        <w:t xml:space="preserve"> </w:t>
      </w:r>
      <w:hyperlink r:id="rId1" w:history="1">
        <w:r w:rsidRPr="003A2A54">
          <w:rPr>
            <w:rStyle w:val="Hyperlinkki"/>
            <w:sz w:val="17"/>
            <w:szCs w:val="17"/>
          </w:rPr>
          <w:t>https://www.sitra.fi/julkaisut/kestavaa-kasvua-kiertotalouden-liiketoimintamalleista/</w:t>
        </w:r>
      </w:hyperlink>
      <w:r w:rsidRPr="003A2A54">
        <w:rPr>
          <w:sz w:val="17"/>
          <w:szCs w:val="17"/>
        </w:rPr>
        <w:t xml:space="preserve"> </w:t>
      </w:r>
    </w:p>
  </w:footnote>
  <w:footnote w:id="3">
    <w:p w14:paraId="33213E15" w14:textId="079183F8" w:rsidR="00865940" w:rsidRPr="003A2A54" w:rsidRDefault="00865940">
      <w:pPr>
        <w:pStyle w:val="Alaviitteenteksti"/>
        <w:rPr>
          <w:sz w:val="17"/>
          <w:szCs w:val="17"/>
        </w:rPr>
      </w:pPr>
      <w:r w:rsidRPr="003A2A54">
        <w:rPr>
          <w:rStyle w:val="Alaviitteenviite"/>
          <w:sz w:val="17"/>
          <w:szCs w:val="17"/>
        </w:rPr>
        <w:footnoteRef/>
      </w:r>
      <w:r w:rsidRPr="003A2A54">
        <w:rPr>
          <w:sz w:val="17"/>
          <w:szCs w:val="17"/>
        </w:rPr>
        <w:t xml:space="preserve"> </w:t>
      </w:r>
      <w:hyperlink r:id="rId2" w:history="1">
        <w:r w:rsidRPr="003A2A54">
          <w:rPr>
            <w:rStyle w:val="Hyperlinkki"/>
            <w:sz w:val="17"/>
            <w:szCs w:val="17"/>
          </w:rPr>
          <w:t>https://www.stat.fi/tietotrendit/artikkelit/2022/kiertotalous-edistyy-suomessa-hitaasti-merkittavimmat-askeleet-kohti-asetettuja-tavoitteita-ovat-viela-ottamatta/</w:t>
        </w:r>
      </w:hyperlink>
      <w:r w:rsidRPr="003A2A54">
        <w:rPr>
          <w:sz w:val="17"/>
          <w:szCs w:val="17"/>
        </w:rPr>
        <w:t xml:space="preserve"> </w:t>
      </w:r>
    </w:p>
  </w:footnote>
  <w:footnote w:id="4">
    <w:p w14:paraId="122DBE3C" w14:textId="77777777" w:rsidR="00865940" w:rsidRPr="003A2A54" w:rsidRDefault="00865940" w:rsidP="000F7A32">
      <w:pPr>
        <w:pStyle w:val="Alaviitteenteksti"/>
        <w:rPr>
          <w:sz w:val="17"/>
          <w:szCs w:val="17"/>
        </w:rPr>
      </w:pPr>
      <w:r w:rsidRPr="003A2A54">
        <w:rPr>
          <w:rStyle w:val="Alaviitteenviite"/>
          <w:sz w:val="17"/>
          <w:szCs w:val="17"/>
        </w:rPr>
        <w:footnoteRef/>
      </w:r>
      <w:r w:rsidRPr="003A2A54">
        <w:rPr>
          <w:sz w:val="17"/>
          <w:szCs w:val="17"/>
        </w:rPr>
        <w:t xml:space="preserve"> </w:t>
      </w:r>
      <w:hyperlink r:id="rId3" w:history="1">
        <w:r w:rsidRPr="003A2A54">
          <w:rPr>
            <w:rStyle w:val="Hyperlinkki"/>
            <w:sz w:val="17"/>
            <w:szCs w:val="17"/>
          </w:rPr>
          <w:t>www.ym.fi/kiertotalousohjelma</w:t>
        </w:r>
      </w:hyperlink>
    </w:p>
  </w:footnote>
  <w:footnote w:id="5">
    <w:p w14:paraId="64DB6EF8" w14:textId="13FA398E" w:rsidR="00865940" w:rsidRDefault="00865940">
      <w:pPr>
        <w:pStyle w:val="Alaviitteenteksti"/>
      </w:pPr>
      <w:r>
        <w:rPr>
          <w:rStyle w:val="Alaviitteenviite"/>
        </w:rPr>
        <w:footnoteRef/>
      </w:r>
      <w:r>
        <w:t xml:space="preserve"> </w:t>
      </w:r>
      <w:hyperlink r:id="rId4" w:history="1">
        <w:r w:rsidRPr="000F7A32">
          <w:rPr>
            <w:rStyle w:val="Hyperlinkki"/>
            <w:sz w:val="17"/>
            <w:szCs w:val="17"/>
          </w:rPr>
          <w:t>https://ym.fi/kiertotalouden-green-deal</w:t>
        </w:r>
      </w:hyperlink>
      <w:r>
        <w:t xml:space="preserve"> </w:t>
      </w:r>
    </w:p>
  </w:footnote>
  <w:footnote w:id="6">
    <w:p w14:paraId="60D5F65F" w14:textId="77777777" w:rsidR="00865940" w:rsidRDefault="00865940" w:rsidP="000F7A32">
      <w:pPr>
        <w:pStyle w:val="Alaviitteenteksti"/>
      </w:pPr>
      <w:r>
        <w:rPr>
          <w:rStyle w:val="Alaviitteenviite"/>
        </w:rPr>
        <w:footnoteRef/>
      </w:r>
      <w:r>
        <w:t xml:space="preserve"> </w:t>
      </w:r>
      <w:hyperlink r:id="rId5" w:history="1">
        <w:r w:rsidRPr="000F7A32">
          <w:rPr>
            <w:rStyle w:val="Hyperlinkki"/>
            <w:sz w:val="17"/>
            <w:szCs w:val="17"/>
          </w:rPr>
          <w:t>https://kiertotaloussuomi.fi/</w:t>
        </w:r>
      </w:hyperlink>
      <w:r>
        <w:t xml:space="preserve"> </w:t>
      </w:r>
    </w:p>
  </w:footnote>
  <w:footnote w:id="7">
    <w:p w14:paraId="1706866F" w14:textId="7A774A2F" w:rsidR="00865940" w:rsidRDefault="00865940">
      <w:pPr>
        <w:pStyle w:val="Alaviitteenteksti"/>
      </w:pPr>
      <w:r>
        <w:rPr>
          <w:rStyle w:val="Alaviitteenviite"/>
        </w:rPr>
        <w:footnoteRef/>
      </w:r>
      <w:r>
        <w:t xml:space="preserve"> </w:t>
      </w:r>
      <w:hyperlink r:id="rId6" w:history="1">
        <w:r w:rsidRPr="00346A0C">
          <w:rPr>
            <w:rStyle w:val="Hyperlinkki"/>
            <w:sz w:val="17"/>
            <w:szCs w:val="17"/>
          </w:rPr>
          <w:t>https://circulardesignsuomi.kiertotaloussuomi.fi/</w:t>
        </w:r>
      </w:hyperlink>
      <w:r w:rsidRPr="00346A0C">
        <w:rPr>
          <w:sz w:val="18"/>
        </w:rPr>
        <w:t xml:space="preserve"> </w:t>
      </w:r>
    </w:p>
  </w:footnote>
  <w:footnote w:id="8">
    <w:p w14:paraId="4C4AD117" w14:textId="77777777" w:rsidR="00865940" w:rsidRPr="003A2A54" w:rsidRDefault="00865940" w:rsidP="00FC2C93">
      <w:pPr>
        <w:pStyle w:val="Alaviitteenteksti"/>
        <w:rPr>
          <w:sz w:val="17"/>
          <w:szCs w:val="17"/>
        </w:rPr>
      </w:pPr>
      <w:r w:rsidRPr="003A2A54">
        <w:rPr>
          <w:rStyle w:val="Alaviitteenviite"/>
          <w:sz w:val="17"/>
          <w:szCs w:val="17"/>
        </w:rPr>
        <w:footnoteRef/>
      </w:r>
      <w:r w:rsidRPr="003A2A54">
        <w:rPr>
          <w:sz w:val="17"/>
          <w:szCs w:val="17"/>
        </w:rPr>
        <w:t xml:space="preserve"> </w:t>
      </w:r>
      <w:hyperlink r:id="rId7" w:history="1">
        <w:r w:rsidRPr="003A2A54">
          <w:rPr>
            <w:rStyle w:val="Hyperlinkki"/>
            <w:sz w:val="17"/>
            <w:szCs w:val="17"/>
          </w:rPr>
          <w:t>https://tfprod.businessfinland.fi/suomalaisille-asiakkaille/palvelut/ohjelmat/paattyneet-ohjelmat/bio-and-circular-finland</w:t>
        </w:r>
      </w:hyperlink>
      <w:r w:rsidRPr="003A2A54">
        <w:rPr>
          <w:sz w:val="17"/>
          <w:szCs w:val="17"/>
        </w:rPr>
        <w:t xml:space="preserve"> </w:t>
      </w:r>
    </w:p>
  </w:footnote>
  <w:footnote w:id="9">
    <w:p w14:paraId="606DA9A5" w14:textId="49AFCFFE" w:rsidR="00865940" w:rsidRDefault="00865940">
      <w:pPr>
        <w:pStyle w:val="Alaviitteenteksti"/>
      </w:pPr>
      <w:r w:rsidRPr="003A2A54">
        <w:rPr>
          <w:rStyle w:val="Alaviitteenviite"/>
          <w:sz w:val="17"/>
          <w:szCs w:val="17"/>
        </w:rPr>
        <w:footnoteRef/>
      </w:r>
      <w:r w:rsidRPr="003A2A54">
        <w:rPr>
          <w:sz w:val="17"/>
          <w:szCs w:val="17"/>
        </w:rPr>
        <w:t xml:space="preserve"> </w:t>
      </w:r>
      <w:hyperlink r:id="rId8" w:history="1">
        <w:r w:rsidRPr="003A2A54">
          <w:rPr>
            <w:rStyle w:val="Hyperlinkki"/>
            <w:sz w:val="17"/>
            <w:szCs w:val="17"/>
          </w:rPr>
          <w:t>https://ym.fi/-/yli-miljoona-euroa-kuntien-ilmasto-ja-kiertotaloustyohon</w:t>
        </w:r>
      </w:hyperlink>
      <w:r w:rsidRPr="003A2A54">
        <w:rPr>
          <w:sz w:val="18"/>
        </w:rPr>
        <w:t xml:space="preserve"> </w:t>
      </w:r>
    </w:p>
  </w:footnote>
  <w:footnote w:id="10">
    <w:p w14:paraId="2FE353F3" w14:textId="6AC3A658" w:rsidR="00865940" w:rsidRPr="00BE69C8" w:rsidRDefault="00865940">
      <w:pPr>
        <w:pStyle w:val="Alaviitteenteksti"/>
        <w:rPr>
          <w:sz w:val="16"/>
          <w:szCs w:val="16"/>
        </w:rPr>
      </w:pPr>
      <w:r w:rsidRPr="00BE69C8">
        <w:rPr>
          <w:rStyle w:val="Alaviitteenviite"/>
          <w:sz w:val="16"/>
          <w:szCs w:val="16"/>
        </w:rPr>
        <w:footnoteRef/>
      </w:r>
      <w:r w:rsidRPr="00BE69C8">
        <w:rPr>
          <w:sz w:val="16"/>
          <w:szCs w:val="16"/>
        </w:rPr>
        <w:t xml:space="preserve"> </w:t>
      </w:r>
      <w:hyperlink r:id="rId9" w:history="1">
        <w:r w:rsidRPr="00BE69C8">
          <w:rPr>
            <w:rStyle w:val="Hyperlinkki"/>
            <w:sz w:val="16"/>
            <w:szCs w:val="16"/>
          </w:rPr>
          <w:t>https://tem.fi/kestavan-kasvun-ohjelman-yritysrahoitushaut</w:t>
        </w:r>
      </w:hyperlink>
    </w:p>
  </w:footnote>
  <w:footnote w:id="11">
    <w:p w14:paraId="7D63E5AA" w14:textId="1C696EC7" w:rsidR="00865940" w:rsidRPr="00BE69C8" w:rsidRDefault="00865940">
      <w:pPr>
        <w:pStyle w:val="Alaviitteenteksti"/>
        <w:rPr>
          <w:sz w:val="16"/>
          <w:szCs w:val="16"/>
        </w:rPr>
      </w:pPr>
      <w:r w:rsidRPr="00BE69C8">
        <w:rPr>
          <w:rStyle w:val="Alaviitteenviite"/>
          <w:sz w:val="16"/>
          <w:szCs w:val="16"/>
        </w:rPr>
        <w:footnoteRef/>
      </w:r>
      <w:r w:rsidRPr="00BE69C8">
        <w:rPr>
          <w:sz w:val="16"/>
          <w:szCs w:val="16"/>
        </w:rPr>
        <w:t xml:space="preserve"> </w:t>
      </w:r>
      <w:hyperlink r:id="rId10" w:history="1">
        <w:r w:rsidRPr="00BE69C8">
          <w:rPr>
            <w:rStyle w:val="Hyperlinkki"/>
            <w:sz w:val="16"/>
            <w:szCs w:val="16"/>
          </w:rPr>
          <w:t>https://julkaisut.valtioneuvosto.fi/handle/10024/164478</w:t>
        </w:r>
      </w:hyperlink>
      <w:r w:rsidRPr="00BE69C8">
        <w:rPr>
          <w:sz w:val="16"/>
          <w:szCs w:val="16"/>
        </w:rPr>
        <w:t xml:space="preserve"> </w:t>
      </w:r>
    </w:p>
  </w:footnote>
  <w:footnote w:id="12">
    <w:p w14:paraId="7B868A4A" w14:textId="67EF83B8" w:rsidR="00865940" w:rsidRPr="00BE69C8" w:rsidRDefault="00865940">
      <w:pPr>
        <w:pStyle w:val="Alaviitteenteksti"/>
        <w:rPr>
          <w:sz w:val="16"/>
          <w:szCs w:val="16"/>
        </w:rPr>
      </w:pPr>
    </w:p>
  </w:footnote>
  <w:footnote w:id="13">
    <w:p w14:paraId="6594B573" w14:textId="0A628665" w:rsidR="00865940" w:rsidRPr="00BE69C8" w:rsidRDefault="00865940">
      <w:pPr>
        <w:pStyle w:val="Alaviitteenteksti"/>
        <w:rPr>
          <w:sz w:val="16"/>
          <w:szCs w:val="16"/>
        </w:rPr>
      </w:pPr>
      <w:r w:rsidRPr="00BE69C8">
        <w:rPr>
          <w:rStyle w:val="Alaviitteenviite"/>
          <w:sz w:val="16"/>
          <w:szCs w:val="16"/>
        </w:rPr>
        <w:footnoteRef/>
      </w:r>
      <w:r w:rsidRPr="00BE69C8">
        <w:rPr>
          <w:sz w:val="16"/>
          <w:szCs w:val="16"/>
        </w:rPr>
        <w:t xml:space="preserve"> </w:t>
      </w:r>
      <w:hyperlink r:id="rId11" w:history="1">
        <w:r w:rsidRPr="00BE69C8">
          <w:rPr>
            <w:rStyle w:val="Hyperlinkki"/>
            <w:sz w:val="16"/>
            <w:szCs w:val="16"/>
          </w:rPr>
          <w:t>https://ym.fi/kiertotalouden-green-deal</w:t>
        </w:r>
      </w:hyperlink>
      <w:r w:rsidRPr="00BE69C8">
        <w:rPr>
          <w:sz w:val="16"/>
          <w:szCs w:val="16"/>
        </w:rPr>
        <w:t xml:space="preserve"> </w:t>
      </w:r>
    </w:p>
  </w:footnote>
  <w:footnote w:id="14">
    <w:p w14:paraId="35493E2A" w14:textId="3398BAF3" w:rsidR="00865940" w:rsidRPr="00BE69C8" w:rsidRDefault="00865940">
      <w:pPr>
        <w:pStyle w:val="Alaviitteenteksti"/>
        <w:rPr>
          <w:sz w:val="16"/>
          <w:szCs w:val="16"/>
        </w:rPr>
      </w:pPr>
      <w:r w:rsidRPr="00BE69C8">
        <w:rPr>
          <w:rStyle w:val="Alaviitteenviite"/>
          <w:sz w:val="16"/>
          <w:szCs w:val="16"/>
        </w:rPr>
        <w:footnoteRef/>
      </w:r>
      <w:r w:rsidRPr="00BE69C8">
        <w:rPr>
          <w:sz w:val="16"/>
          <w:szCs w:val="16"/>
        </w:rPr>
        <w:t xml:space="preserve"> </w:t>
      </w:r>
      <w:hyperlink r:id="rId12" w:history="1">
        <w:r w:rsidRPr="00BE69C8">
          <w:rPr>
            <w:rStyle w:val="Hyperlinkki"/>
            <w:sz w:val="16"/>
            <w:szCs w:val="16"/>
          </w:rPr>
          <w:t>https://tem.fi/-/kiertotalouden-oppeja-hiotaan-kaivannaistoiminnan-kayttoon</w:t>
        </w:r>
      </w:hyperlink>
      <w:r w:rsidRPr="00BE69C8">
        <w:rPr>
          <w:sz w:val="16"/>
          <w:szCs w:val="16"/>
        </w:rPr>
        <w:t xml:space="preserve"> </w:t>
      </w:r>
    </w:p>
  </w:footnote>
  <w:footnote w:id="15">
    <w:p w14:paraId="49FB777D" w14:textId="67E3E213" w:rsidR="00865940" w:rsidRPr="00BE69C8" w:rsidRDefault="00865940">
      <w:pPr>
        <w:pStyle w:val="Alaviitteenteksti"/>
        <w:rPr>
          <w:sz w:val="16"/>
          <w:szCs w:val="16"/>
        </w:rPr>
      </w:pPr>
      <w:r w:rsidRPr="00BE69C8">
        <w:rPr>
          <w:rStyle w:val="Alaviitteenviite"/>
          <w:sz w:val="16"/>
          <w:szCs w:val="16"/>
        </w:rPr>
        <w:footnoteRef/>
      </w:r>
      <w:r w:rsidRPr="00BE69C8">
        <w:rPr>
          <w:sz w:val="16"/>
          <w:szCs w:val="16"/>
        </w:rPr>
        <w:t xml:space="preserve"> </w:t>
      </w:r>
      <w:hyperlink r:id="rId13" w:history="1">
        <w:r w:rsidRPr="00BE69C8">
          <w:rPr>
            <w:rStyle w:val="Hyperlinkki"/>
            <w:sz w:val="16"/>
            <w:szCs w:val="16"/>
          </w:rPr>
          <w:t>https://ym.fi/suomen-muovitiekartta</w:t>
        </w:r>
      </w:hyperlink>
      <w:r w:rsidRPr="00BE69C8">
        <w:rPr>
          <w:sz w:val="16"/>
          <w:szCs w:val="16"/>
        </w:rPr>
        <w:t xml:space="preserve"> </w:t>
      </w:r>
    </w:p>
  </w:footnote>
  <w:footnote w:id="16">
    <w:p w14:paraId="3E5A06D0" w14:textId="28EF3037" w:rsidR="00865940" w:rsidRPr="003A2A54" w:rsidRDefault="00865940">
      <w:pPr>
        <w:pStyle w:val="Alaviitteenteksti"/>
        <w:rPr>
          <w:sz w:val="16"/>
          <w:szCs w:val="16"/>
        </w:rPr>
      </w:pPr>
      <w:r w:rsidRPr="00BE69C8">
        <w:rPr>
          <w:rStyle w:val="Alaviitteenviite"/>
          <w:sz w:val="16"/>
          <w:szCs w:val="16"/>
        </w:rPr>
        <w:footnoteRef/>
      </w:r>
      <w:r w:rsidRPr="00BE69C8">
        <w:rPr>
          <w:sz w:val="16"/>
          <w:szCs w:val="16"/>
        </w:rPr>
        <w:t xml:space="preserve"> </w:t>
      </w:r>
      <w:hyperlink r:id="rId14" w:history="1">
        <w:r w:rsidRPr="00BE69C8">
          <w:rPr>
            <w:rStyle w:val="Hyperlinkki"/>
            <w:sz w:val="16"/>
            <w:szCs w:val="16"/>
          </w:rPr>
          <w:t>https://ym.fi/valtakunnallinen-jatesuunnitelma</w:t>
        </w:r>
      </w:hyperlink>
      <w:r w:rsidRPr="00BE69C8">
        <w:rPr>
          <w:sz w:val="16"/>
          <w:szCs w:val="16"/>
        </w:rPr>
        <w:t xml:space="preserve"> </w:t>
      </w:r>
    </w:p>
  </w:footnote>
  <w:footnote w:id="17">
    <w:p w14:paraId="477D8BD2" w14:textId="1120AE04" w:rsidR="00865940" w:rsidRDefault="00865940">
      <w:pPr>
        <w:pStyle w:val="Alaviitteenteksti"/>
      </w:pPr>
      <w:r>
        <w:rPr>
          <w:rStyle w:val="Alaviitteenviite"/>
        </w:rPr>
        <w:footnoteRef/>
      </w:r>
      <w:r>
        <w:t xml:space="preserve"> </w:t>
      </w:r>
      <w:hyperlink r:id="rId15" w:history="1">
        <w:r w:rsidRPr="003A2A54">
          <w:rPr>
            <w:rStyle w:val="Hyperlinkki"/>
            <w:sz w:val="18"/>
          </w:rPr>
          <w:t>https://clc.fi/fi/2023/02/14/vihrea-siirtyma-on-suomelle-jopa-sadan-miljardin-euron-vientimahdollisuus/</w:t>
        </w:r>
      </w:hyperlink>
      <w:r w:rsidRPr="003A2A54">
        <w:rPr>
          <w:sz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E4B4C" w14:textId="26BC7AA8" w:rsidR="00503A2B" w:rsidRPr="00503A2B" w:rsidRDefault="00503A2B" w:rsidP="00503A2B">
    <w:pPr>
      <w:autoSpaceDE w:val="0"/>
      <w:autoSpaceDN w:val="0"/>
      <w:spacing w:after="0" w:line="240" w:lineRule="auto"/>
      <w:rPr>
        <w:rFonts w:eastAsia="Times New Roman" w:cstheme="minorHAnsi"/>
        <w:sz w:val="20"/>
        <w:szCs w:val="20"/>
        <w:lang w:eastAsia="fi-FI"/>
      </w:rPr>
    </w:pPr>
    <w:r w:rsidRPr="00503A2B">
      <w:rPr>
        <w:rFonts w:eastAsia="Times New Roman" w:cstheme="minorHAnsi"/>
        <w:sz w:val="20"/>
        <w:szCs w:val="20"/>
        <w:lang w:eastAsia="fi-FI"/>
      </w:rPr>
      <w:t>Lisätietojen</w:t>
    </w:r>
    <w:r>
      <w:rPr>
        <w:rFonts w:eastAsia="Times New Roman" w:cstheme="minorHAnsi"/>
        <w:sz w:val="20"/>
        <w:szCs w:val="20"/>
        <w:lang w:eastAsia="fi-FI"/>
      </w:rPr>
      <w:t xml:space="preserve"> antajat:</w:t>
    </w:r>
    <w:r>
      <w:rPr>
        <w:rFonts w:eastAsia="Times New Roman" w:cstheme="minorHAnsi"/>
        <w:sz w:val="20"/>
        <w:szCs w:val="20"/>
        <w:lang w:eastAsia="fi-FI"/>
      </w:rPr>
      <w:tab/>
    </w:r>
    <w:r w:rsidRPr="00503A2B">
      <w:rPr>
        <w:rFonts w:eastAsia="Times New Roman" w:cstheme="minorHAnsi"/>
        <w:sz w:val="20"/>
        <w:szCs w:val="20"/>
        <w:lang w:eastAsia="fi-FI"/>
      </w:rPr>
      <w:t>Ylijohtaja Leena Ylä-Mononen; </w:t>
    </w:r>
    <w:hyperlink r:id="rId1" w:history="1">
      <w:r w:rsidRPr="00503A2B">
        <w:rPr>
          <w:rFonts w:eastAsia="Times New Roman" w:cstheme="minorHAnsi"/>
          <w:sz w:val="20"/>
          <w:szCs w:val="20"/>
          <w:u w:val="single"/>
          <w:lang w:eastAsia="fi-FI"/>
        </w:rPr>
        <w:t>leena.yla-mononen@gov.fi</w:t>
      </w:r>
    </w:hyperlink>
    <w:r w:rsidRPr="00503A2B">
      <w:rPr>
        <w:rFonts w:eastAsia="Times New Roman" w:cstheme="minorHAnsi"/>
        <w:sz w:val="20"/>
        <w:szCs w:val="20"/>
        <w:lang w:eastAsia="fi-FI"/>
      </w:rPr>
      <w:t> ; +358504761516</w:t>
    </w:r>
  </w:p>
  <w:p w14:paraId="69D01561" w14:textId="72FD26E5" w:rsidR="00503A2B" w:rsidRDefault="00503A2B" w:rsidP="00503A2B">
    <w:pPr>
      <w:pStyle w:val="Yltunniste"/>
    </w:pPr>
    <w:r>
      <w:rPr>
        <w:rFonts w:eastAsia="Times New Roman" w:cstheme="minorHAnsi"/>
        <w:sz w:val="20"/>
        <w:szCs w:val="20"/>
        <w:lang w:eastAsia="fi-FI"/>
      </w:rPr>
      <w:tab/>
      <w:t xml:space="preserve">                    </w:t>
    </w:r>
    <w:r w:rsidRPr="00503A2B">
      <w:rPr>
        <w:rFonts w:eastAsia="Times New Roman" w:cstheme="minorHAnsi"/>
        <w:sz w:val="20"/>
        <w:szCs w:val="20"/>
        <w:lang w:eastAsia="fi-FI"/>
      </w:rPr>
      <w:t>Kehittämisjohtaja Juho Korpi; </w:t>
    </w:r>
    <w:hyperlink r:id="rId2" w:history="1">
      <w:r w:rsidRPr="00503A2B">
        <w:rPr>
          <w:rFonts w:eastAsia="Times New Roman" w:cstheme="minorHAnsi"/>
          <w:sz w:val="20"/>
          <w:szCs w:val="20"/>
          <w:u w:val="single"/>
          <w:lang w:eastAsia="fi-FI"/>
        </w:rPr>
        <w:t>juho.korpi@gov.fi</w:t>
      </w:r>
    </w:hyperlink>
    <w:r w:rsidRPr="00503A2B">
      <w:rPr>
        <w:rFonts w:eastAsia="Times New Roman" w:cstheme="minorHAnsi"/>
        <w:sz w:val="20"/>
        <w:szCs w:val="20"/>
        <w:lang w:eastAsia="fi-FI"/>
      </w:rPr>
      <w:t>; +358504343348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31000"/>
    <w:multiLevelType w:val="hybridMultilevel"/>
    <w:tmpl w:val="70840F3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1758A"/>
    <w:multiLevelType w:val="hybridMultilevel"/>
    <w:tmpl w:val="E7CAC3A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916E0"/>
    <w:multiLevelType w:val="hybridMultilevel"/>
    <w:tmpl w:val="881E923C"/>
    <w:lvl w:ilvl="0" w:tplc="B894BE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A2F74"/>
    <w:multiLevelType w:val="hybridMultilevel"/>
    <w:tmpl w:val="4342C28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E246B"/>
    <w:multiLevelType w:val="hybridMultilevel"/>
    <w:tmpl w:val="9A64641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A31B2"/>
    <w:multiLevelType w:val="hybridMultilevel"/>
    <w:tmpl w:val="7C705818"/>
    <w:lvl w:ilvl="0" w:tplc="B894BE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7F4580"/>
    <w:multiLevelType w:val="hybridMultilevel"/>
    <w:tmpl w:val="EE7EEDB0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00A5A1B"/>
    <w:multiLevelType w:val="hybridMultilevel"/>
    <w:tmpl w:val="2AF8DA1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634B25"/>
    <w:multiLevelType w:val="hybridMultilevel"/>
    <w:tmpl w:val="3BE2DF0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30275C"/>
    <w:multiLevelType w:val="hybridMultilevel"/>
    <w:tmpl w:val="448C08A6"/>
    <w:lvl w:ilvl="0" w:tplc="040B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i w:val="0"/>
      </w:rPr>
    </w:lvl>
    <w:lvl w:ilvl="1" w:tplc="040B000F">
      <w:start w:val="1"/>
      <w:numFmt w:val="decimal"/>
      <w:lvlText w:val="%2."/>
      <w:lvlJc w:val="left"/>
      <w:pPr>
        <w:ind w:left="1222" w:hanging="360"/>
      </w:pPr>
    </w:lvl>
    <w:lvl w:ilvl="2" w:tplc="040B0001">
      <w:start w:val="1"/>
      <w:numFmt w:val="bullet"/>
      <w:lvlText w:val=""/>
      <w:lvlJc w:val="left"/>
      <w:pPr>
        <w:ind w:left="1942" w:hanging="180"/>
      </w:pPr>
      <w:rPr>
        <w:rFonts w:ascii="Symbol" w:hAnsi="Symbol" w:hint="default"/>
      </w:rPr>
    </w:lvl>
    <w:lvl w:ilvl="3" w:tplc="040B000F">
      <w:start w:val="1"/>
      <w:numFmt w:val="decimal"/>
      <w:lvlText w:val="%4."/>
      <w:lvlJc w:val="left"/>
      <w:pPr>
        <w:ind w:left="2662" w:hanging="360"/>
      </w:pPr>
    </w:lvl>
    <w:lvl w:ilvl="4" w:tplc="040B0019">
      <w:start w:val="1"/>
      <w:numFmt w:val="lowerLetter"/>
      <w:lvlText w:val="%5."/>
      <w:lvlJc w:val="left"/>
      <w:pPr>
        <w:ind w:left="3382" w:hanging="360"/>
      </w:pPr>
    </w:lvl>
    <w:lvl w:ilvl="5" w:tplc="040B001B">
      <w:start w:val="1"/>
      <w:numFmt w:val="lowerRoman"/>
      <w:lvlText w:val="%6."/>
      <w:lvlJc w:val="right"/>
      <w:pPr>
        <w:ind w:left="4102" w:hanging="180"/>
      </w:pPr>
    </w:lvl>
    <w:lvl w:ilvl="6" w:tplc="040B000F">
      <w:start w:val="1"/>
      <w:numFmt w:val="decimal"/>
      <w:lvlText w:val="%7."/>
      <w:lvlJc w:val="left"/>
      <w:pPr>
        <w:ind w:left="4822" w:hanging="360"/>
      </w:pPr>
    </w:lvl>
    <w:lvl w:ilvl="7" w:tplc="040B0019">
      <w:start w:val="1"/>
      <w:numFmt w:val="lowerLetter"/>
      <w:lvlText w:val="%8."/>
      <w:lvlJc w:val="left"/>
      <w:pPr>
        <w:ind w:left="5542" w:hanging="360"/>
      </w:pPr>
    </w:lvl>
    <w:lvl w:ilvl="8" w:tplc="040B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8934472"/>
    <w:multiLevelType w:val="hybridMultilevel"/>
    <w:tmpl w:val="284C609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000EC2"/>
    <w:multiLevelType w:val="hybridMultilevel"/>
    <w:tmpl w:val="B14C5B1C"/>
    <w:lvl w:ilvl="0" w:tplc="C11A96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8C6ED0"/>
    <w:multiLevelType w:val="hybridMultilevel"/>
    <w:tmpl w:val="5BC2B11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F100E"/>
    <w:multiLevelType w:val="hybridMultilevel"/>
    <w:tmpl w:val="2F449AF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A92B69"/>
    <w:multiLevelType w:val="hybridMultilevel"/>
    <w:tmpl w:val="162626D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76D7F"/>
    <w:multiLevelType w:val="hybridMultilevel"/>
    <w:tmpl w:val="C6AE980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E92FF1"/>
    <w:multiLevelType w:val="hybridMultilevel"/>
    <w:tmpl w:val="D00E2BA0"/>
    <w:lvl w:ilvl="0" w:tplc="B894BE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166B24"/>
    <w:multiLevelType w:val="hybridMultilevel"/>
    <w:tmpl w:val="C3EAA1E6"/>
    <w:lvl w:ilvl="0" w:tplc="8F5A11C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E64144"/>
    <w:multiLevelType w:val="hybridMultilevel"/>
    <w:tmpl w:val="083ADED0"/>
    <w:lvl w:ilvl="0" w:tplc="7D8247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  <w:color w:val="000000" w:themeColor="text1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9506A3"/>
    <w:multiLevelType w:val="hybridMultilevel"/>
    <w:tmpl w:val="3C96978A"/>
    <w:lvl w:ilvl="0" w:tplc="C11A96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7E6F33"/>
    <w:multiLevelType w:val="hybridMultilevel"/>
    <w:tmpl w:val="4FCCAF44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F43F89"/>
    <w:multiLevelType w:val="hybridMultilevel"/>
    <w:tmpl w:val="22C65F2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AB3503"/>
    <w:multiLevelType w:val="hybridMultilevel"/>
    <w:tmpl w:val="C152223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1A6405"/>
    <w:multiLevelType w:val="hybridMultilevel"/>
    <w:tmpl w:val="2EA4B9E0"/>
    <w:lvl w:ilvl="0" w:tplc="33E2C65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AD62AB"/>
    <w:multiLevelType w:val="hybridMultilevel"/>
    <w:tmpl w:val="02DC15A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4"/>
  </w:num>
  <w:num w:numId="3">
    <w:abstractNumId w:val="22"/>
  </w:num>
  <w:num w:numId="4">
    <w:abstractNumId w:val="4"/>
  </w:num>
  <w:num w:numId="5">
    <w:abstractNumId w:val="20"/>
  </w:num>
  <w:num w:numId="6">
    <w:abstractNumId w:val="17"/>
  </w:num>
  <w:num w:numId="7">
    <w:abstractNumId w:val="1"/>
  </w:num>
  <w:num w:numId="8">
    <w:abstractNumId w:val="3"/>
  </w:num>
  <w:num w:numId="9">
    <w:abstractNumId w:val="2"/>
  </w:num>
  <w:num w:numId="10">
    <w:abstractNumId w:val="16"/>
  </w:num>
  <w:num w:numId="11">
    <w:abstractNumId w:val="10"/>
  </w:num>
  <w:num w:numId="12">
    <w:abstractNumId w:val="5"/>
  </w:num>
  <w:num w:numId="13">
    <w:abstractNumId w:val="21"/>
  </w:num>
  <w:num w:numId="14">
    <w:abstractNumId w:val="9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6"/>
  </w:num>
  <w:num w:numId="17">
    <w:abstractNumId w:val="19"/>
  </w:num>
  <w:num w:numId="18">
    <w:abstractNumId w:val="9"/>
  </w:num>
  <w:num w:numId="19">
    <w:abstractNumId w:val="11"/>
  </w:num>
  <w:num w:numId="20">
    <w:abstractNumId w:val="8"/>
  </w:num>
  <w:num w:numId="21">
    <w:abstractNumId w:val="12"/>
  </w:num>
  <w:num w:numId="22">
    <w:abstractNumId w:val="14"/>
  </w:num>
  <w:num w:numId="23">
    <w:abstractNumId w:val="7"/>
  </w:num>
  <w:num w:numId="24">
    <w:abstractNumId w:val="15"/>
  </w:num>
  <w:num w:numId="25">
    <w:abstractNumId w:val="23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activeWritingStyle w:appName="MSWord" w:lang="fi-FI" w:vendorID="64" w:dllVersion="131078" w:nlCheck="1" w:checkStyle="0"/>
  <w:proofState w:spelling="clean" w:grammar="clean"/>
  <w:defaultTabStop w:val="1304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09A"/>
    <w:rsid w:val="000265BE"/>
    <w:rsid w:val="00061AEF"/>
    <w:rsid w:val="00086049"/>
    <w:rsid w:val="000A539E"/>
    <w:rsid w:val="000B3179"/>
    <w:rsid w:val="000C2B25"/>
    <w:rsid w:val="000C4FAF"/>
    <w:rsid w:val="000D127B"/>
    <w:rsid w:val="000F7A32"/>
    <w:rsid w:val="0010106E"/>
    <w:rsid w:val="0010261A"/>
    <w:rsid w:val="001158A0"/>
    <w:rsid w:val="00170E5D"/>
    <w:rsid w:val="00171FC1"/>
    <w:rsid w:val="001828F6"/>
    <w:rsid w:val="00191073"/>
    <w:rsid w:val="001A3E58"/>
    <w:rsid w:val="001C7125"/>
    <w:rsid w:val="001D28A0"/>
    <w:rsid w:val="001D3152"/>
    <w:rsid w:val="001E23DF"/>
    <w:rsid w:val="002355E8"/>
    <w:rsid w:val="002577B4"/>
    <w:rsid w:val="0026183E"/>
    <w:rsid w:val="002618E8"/>
    <w:rsid w:val="002D1603"/>
    <w:rsid w:val="002D7F7B"/>
    <w:rsid w:val="002F4EF1"/>
    <w:rsid w:val="0031579E"/>
    <w:rsid w:val="00336DD9"/>
    <w:rsid w:val="00346A0C"/>
    <w:rsid w:val="00347566"/>
    <w:rsid w:val="003538ED"/>
    <w:rsid w:val="003649B4"/>
    <w:rsid w:val="003750CB"/>
    <w:rsid w:val="003919DA"/>
    <w:rsid w:val="003A212E"/>
    <w:rsid w:val="003A2A54"/>
    <w:rsid w:val="003B38F4"/>
    <w:rsid w:val="003C3A8B"/>
    <w:rsid w:val="003C7C6F"/>
    <w:rsid w:val="003D6D35"/>
    <w:rsid w:val="003E18C9"/>
    <w:rsid w:val="003E3087"/>
    <w:rsid w:val="003E612A"/>
    <w:rsid w:val="00421565"/>
    <w:rsid w:val="004330E0"/>
    <w:rsid w:val="00446A7E"/>
    <w:rsid w:val="004526CF"/>
    <w:rsid w:val="0048207E"/>
    <w:rsid w:val="00482A29"/>
    <w:rsid w:val="004C171F"/>
    <w:rsid w:val="004E461F"/>
    <w:rsid w:val="00503A2B"/>
    <w:rsid w:val="0054504F"/>
    <w:rsid w:val="00547144"/>
    <w:rsid w:val="005501DD"/>
    <w:rsid w:val="00552412"/>
    <w:rsid w:val="00563FC7"/>
    <w:rsid w:val="00573916"/>
    <w:rsid w:val="00592E1D"/>
    <w:rsid w:val="005A0D01"/>
    <w:rsid w:val="005C4588"/>
    <w:rsid w:val="005D7C23"/>
    <w:rsid w:val="005F194D"/>
    <w:rsid w:val="00615598"/>
    <w:rsid w:val="00622AA2"/>
    <w:rsid w:val="0063288F"/>
    <w:rsid w:val="006B334A"/>
    <w:rsid w:val="006B6F7E"/>
    <w:rsid w:val="006D676D"/>
    <w:rsid w:val="006E2CB0"/>
    <w:rsid w:val="006F0BED"/>
    <w:rsid w:val="006F0E24"/>
    <w:rsid w:val="0070272E"/>
    <w:rsid w:val="00705108"/>
    <w:rsid w:val="00720FAA"/>
    <w:rsid w:val="007219C9"/>
    <w:rsid w:val="00786191"/>
    <w:rsid w:val="00791402"/>
    <w:rsid w:val="007D1254"/>
    <w:rsid w:val="007D2194"/>
    <w:rsid w:val="007D3F68"/>
    <w:rsid w:val="007F43D6"/>
    <w:rsid w:val="007F52B1"/>
    <w:rsid w:val="00806354"/>
    <w:rsid w:val="00821699"/>
    <w:rsid w:val="00834092"/>
    <w:rsid w:val="00837650"/>
    <w:rsid w:val="008470A8"/>
    <w:rsid w:val="00865940"/>
    <w:rsid w:val="00870A44"/>
    <w:rsid w:val="008715A2"/>
    <w:rsid w:val="0087735E"/>
    <w:rsid w:val="008A60D7"/>
    <w:rsid w:val="00944ED0"/>
    <w:rsid w:val="00951CAA"/>
    <w:rsid w:val="00954272"/>
    <w:rsid w:val="00963806"/>
    <w:rsid w:val="009A715D"/>
    <w:rsid w:val="009D6BED"/>
    <w:rsid w:val="009F52BB"/>
    <w:rsid w:val="00A033F4"/>
    <w:rsid w:val="00A102A6"/>
    <w:rsid w:val="00A258A2"/>
    <w:rsid w:val="00A263F3"/>
    <w:rsid w:val="00A55B2D"/>
    <w:rsid w:val="00A56951"/>
    <w:rsid w:val="00A62C3A"/>
    <w:rsid w:val="00A637C2"/>
    <w:rsid w:val="00A71BA0"/>
    <w:rsid w:val="00A812D7"/>
    <w:rsid w:val="00AB2712"/>
    <w:rsid w:val="00AD684F"/>
    <w:rsid w:val="00AE40C1"/>
    <w:rsid w:val="00AF1FC3"/>
    <w:rsid w:val="00AF60CB"/>
    <w:rsid w:val="00B11B0E"/>
    <w:rsid w:val="00B479B2"/>
    <w:rsid w:val="00B824EC"/>
    <w:rsid w:val="00BA5695"/>
    <w:rsid w:val="00BE69C8"/>
    <w:rsid w:val="00BF3118"/>
    <w:rsid w:val="00BF6CDD"/>
    <w:rsid w:val="00C052D8"/>
    <w:rsid w:val="00C11EB1"/>
    <w:rsid w:val="00C34962"/>
    <w:rsid w:val="00C36FAB"/>
    <w:rsid w:val="00C374F6"/>
    <w:rsid w:val="00C51DFA"/>
    <w:rsid w:val="00C72729"/>
    <w:rsid w:val="00C77322"/>
    <w:rsid w:val="00C917BF"/>
    <w:rsid w:val="00CA0523"/>
    <w:rsid w:val="00CB509A"/>
    <w:rsid w:val="00CC5C83"/>
    <w:rsid w:val="00CC6134"/>
    <w:rsid w:val="00CC7E0F"/>
    <w:rsid w:val="00CD759B"/>
    <w:rsid w:val="00CE21D8"/>
    <w:rsid w:val="00CE780A"/>
    <w:rsid w:val="00D027C9"/>
    <w:rsid w:val="00D05E76"/>
    <w:rsid w:val="00D24957"/>
    <w:rsid w:val="00D46521"/>
    <w:rsid w:val="00D66AFA"/>
    <w:rsid w:val="00D73B80"/>
    <w:rsid w:val="00D973AF"/>
    <w:rsid w:val="00DA4ACA"/>
    <w:rsid w:val="00DA550E"/>
    <w:rsid w:val="00DA65D6"/>
    <w:rsid w:val="00DA6FB1"/>
    <w:rsid w:val="00DC208A"/>
    <w:rsid w:val="00DC2914"/>
    <w:rsid w:val="00DD4960"/>
    <w:rsid w:val="00DE02FF"/>
    <w:rsid w:val="00DE6573"/>
    <w:rsid w:val="00DF0B16"/>
    <w:rsid w:val="00E07ECB"/>
    <w:rsid w:val="00E171F7"/>
    <w:rsid w:val="00E42120"/>
    <w:rsid w:val="00E56B18"/>
    <w:rsid w:val="00E60326"/>
    <w:rsid w:val="00E91A63"/>
    <w:rsid w:val="00EA297F"/>
    <w:rsid w:val="00EC0235"/>
    <w:rsid w:val="00EC4C96"/>
    <w:rsid w:val="00EC7A5D"/>
    <w:rsid w:val="00ED325C"/>
    <w:rsid w:val="00EE5F40"/>
    <w:rsid w:val="00F13C22"/>
    <w:rsid w:val="00F2462A"/>
    <w:rsid w:val="00F2675C"/>
    <w:rsid w:val="00F43FF6"/>
    <w:rsid w:val="00F557F7"/>
    <w:rsid w:val="00F672FD"/>
    <w:rsid w:val="00FA308A"/>
    <w:rsid w:val="00FA3699"/>
    <w:rsid w:val="00FA3B99"/>
    <w:rsid w:val="00FC0079"/>
    <w:rsid w:val="00FC0406"/>
    <w:rsid w:val="00FC2C93"/>
    <w:rsid w:val="00FE5663"/>
    <w:rsid w:val="00FF0A30"/>
    <w:rsid w:val="00FF76B8"/>
    <w:rsid w:val="0EF75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57D8A"/>
  <w15:chartTrackingRefBased/>
  <w15:docId w15:val="{72D33662-B3E4-4FE4-975E-7E806D8AB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aliases w:val="Listaus,Bullet List,Bulletr List Paragraph,FooterText,List Paragraph2,List Paragraph21,Listaszerű bekezdés5,Listeafsnit1,Paragraphe de liste1,Parágrafo da Lista1,Párrafo de lista1,Welt L,Welt L Char,numbered,リスト段落1,列出段落,列出段落1,References"/>
    <w:basedOn w:val="Normaali"/>
    <w:link w:val="LuettelokappaleChar"/>
    <w:uiPriority w:val="34"/>
    <w:qFormat/>
    <w:rsid w:val="00CB509A"/>
    <w:pPr>
      <w:ind w:left="720"/>
      <w:contextualSpacing/>
    </w:pPr>
  </w:style>
  <w:style w:type="character" w:customStyle="1" w:styleId="LuettelokappaleChar">
    <w:name w:val="Luettelokappale Char"/>
    <w:aliases w:val="Listaus Char,Bullet List Char,Bulletr List Paragraph Char,FooterText Char,List Paragraph2 Char,List Paragraph21 Char,Listaszerű bekezdés5 Char,Listeafsnit1 Char,Paragraphe de liste1 Char,Parágrafo da Lista1 Char,Welt L Char1"/>
    <w:link w:val="Luettelokappale"/>
    <w:uiPriority w:val="34"/>
    <w:rsid w:val="00CB509A"/>
  </w:style>
  <w:style w:type="character" w:styleId="Kommentinviite">
    <w:name w:val="annotation reference"/>
    <w:basedOn w:val="Kappaleenoletusfontti"/>
    <w:uiPriority w:val="99"/>
    <w:semiHidden/>
    <w:unhideWhenUsed/>
    <w:rsid w:val="00CB509A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CB509A"/>
    <w:pPr>
      <w:spacing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CB509A"/>
    <w:rPr>
      <w:sz w:val="20"/>
      <w:szCs w:val="20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CB50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CB509A"/>
    <w:rPr>
      <w:rFonts w:ascii="Segoe UI" w:hAnsi="Segoe UI" w:cs="Segoe UI"/>
      <w:sz w:val="18"/>
      <w:szCs w:val="18"/>
    </w:rPr>
  </w:style>
  <w:style w:type="paragraph" w:styleId="Yltunniste">
    <w:name w:val="header"/>
    <w:basedOn w:val="Normaali"/>
    <w:link w:val="YltunnisteChar"/>
    <w:uiPriority w:val="99"/>
    <w:unhideWhenUsed/>
    <w:rsid w:val="00C51D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C51DFA"/>
  </w:style>
  <w:style w:type="paragraph" w:styleId="Alatunniste">
    <w:name w:val="footer"/>
    <w:basedOn w:val="Normaali"/>
    <w:link w:val="AlatunnisteChar"/>
    <w:uiPriority w:val="99"/>
    <w:unhideWhenUsed/>
    <w:rsid w:val="00C51D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C51DFA"/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C51DFA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C51DFA"/>
    <w:rPr>
      <w:b/>
      <w:bCs/>
      <w:sz w:val="20"/>
      <w:szCs w:val="20"/>
    </w:rPr>
  </w:style>
  <w:style w:type="paragraph" w:styleId="Muutos">
    <w:name w:val="Revision"/>
    <w:hidden/>
    <w:uiPriority w:val="99"/>
    <w:semiHidden/>
    <w:rsid w:val="00CE780A"/>
    <w:pPr>
      <w:spacing w:after="0" w:line="240" w:lineRule="auto"/>
    </w:pPr>
  </w:style>
  <w:style w:type="character" w:styleId="Hyperlinkki">
    <w:name w:val="Hyperlink"/>
    <w:basedOn w:val="Kappaleenoletusfontti"/>
    <w:uiPriority w:val="99"/>
    <w:unhideWhenUsed/>
    <w:rsid w:val="0070272E"/>
    <w:rPr>
      <w:color w:val="0563C1" w:themeColor="hyperlink"/>
      <w:u w:val="single"/>
    </w:rPr>
  </w:style>
  <w:style w:type="character" w:customStyle="1" w:styleId="normaltextrun">
    <w:name w:val="normaltextrun"/>
    <w:basedOn w:val="Kappaleenoletusfontti"/>
    <w:rsid w:val="00944ED0"/>
  </w:style>
  <w:style w:type="paragraph" w:styleId="Otsikko">
    <w:name w:val="Title"/>
    <w:basedOn w:val="Normaali"/>
    <w:next w:val="Normaali"/>
    <w:link w:val="OtsikkoChar"/>
    <w:uiPriority w:val="10"/>
    <w:qFormat/>
    <w:rsid w:val="00944ED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tsikkoChar">
    <w:name w:val="Otsikko Char"/>
    <w:basedOn w:val="Kappaleenoletusfontti"/>
    <w:link w:val="Otsikko"/>
    <w:uiPriority w:val="10"/>
    <w:rsid w:val="00944E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pellingerror">
    <w:name w:val="spellingerror"/>
    <w:basedOn w:val="Kappaleenoletusfontti"/>
    <w:rsid w:val="00944ED0"/>
  </w:style>
  <w:style w:type="character" w:customStyle="1" w:styleId="scxw229497755">
    <w:name w:val="scxw229497755"/>
    <w:basedOn w:val="Kappaleenoletusfontti"/>
    <w:rsid w:val="00944ED0"/>
  </w:style>
  <w:style w:type="paragraph" w:customStyle="1" w:styleId="paragraph">
    <w:name w:val="paragraph"/>
    <w:basedOn w:val="Normaali"/>
    <w:rsid w:val="0057391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i-FI"/>
    </w:rPr>
  </w:style>
  <w:style w:type="character" w:customStyle="1" w:styleId="eop">
    <w:name w:val="eop"/>
    <w:basedOn w:val="Kappaleenoletusfontti"/>
    <w:rsid w:val="00573916"/>
  </w:style>
  <w:style w:type="paragraph" w:styleId="Alaviitteenteksti">
    <w:name w:val="footnote text"/>
    <w:basedOn w:val="Normaali"/>
    <w:link w:val="AlaviitteentekstiChar"/>
    <w:uiPriority w:val="99"/>
    <w:semiHidden/>
    <w:unhideWhenUsed/>
    <w:rsid w:val="00705108"/>
    <w:pPr>
      <w:spacing w:after="0" w:line="240" w:lineRule="auto"/>
    </w:pPr>
    <w:rPr>
      <w:sz w:val="20"/>
      <w:szCs w:val="20"/>
    </w:rPr>
  </w:style>
  <w:style w:type="character" w:customStyle="1" w:styleId="AlaviitteentekstiChar">
    <w:name w:val="Alaviitteen teksti Char"/>
    <w:basedOn w:val="Kappaleenoletusfontti"/>
    <w:link w:val="Alaviitteenteksti"/>
    <w:uiPriority w:val="99"/>
    <w:semiHidden/>
    <w:rsid w:val="00705108"/>
    <w:rPr>
      <w:sz w:val="20"/>
      <w:szCs w:val="20"/>
    </w:rPr>
  </w:style>
  <w:style w:type="character" w:styleId="Alaviitteenviite">
    <w:name w:val="footnote reference"/>
    <w:basedOn w:val="Kappaleenoletusfontti"/>
    <w:uiPriority w:val="99"/>
    <w:semiHidden/>
    <w:unhideWhenUsed/>
    <w:rsid w:val="00705108"/>
    <w:rPr>
      <w:vertAlign w:val="superscript"/>
    </w:rPr>
  </w:style>
  <w:style w:type="character" w:customStyle="1" w:styleId="ui-provider">
    <w:name w:val="ui-provider"/>
    <w:basedOn w:val="Kappaleenoletusfontti"/>
    <w:rsid w:val="00AF1FC3"/>
  </w:style>
  <w:style w:type="character" w:styleId="Voimakas">
    <w:name w:val="Strong"/>
    <w:basedOn w:val="Kappaleenoletusfontti"/>
    <w:uiPriority w:val="22"/>
    <w:qFormat/>
    <w:rsid w:val="00AF1FC3"/>
    <w:rPr>
      <w:b/>
      <w:bCs/>
    </w:rPr>
  </w:style>
  <w:style w:type="paragraph" w:styleId="NormaaliWWW">
    <w:name w:val="Normal (Web)"/>
    <w:basedOn w:val="Normaali"/>
    <w:uiPriority w:val="99"/>
    <w:semiHidden/>
    <w:unhideWhenUsed/>
    <w:rsid w:val="00346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4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ym.fi/-/yli-miljoona-euroa-kuntien-ilmasto-ja-kiertotaloustyohon" TargetMode="External"/><Relationship Id="rId13" Type="http://schemas.openxmlformats.org/officeDocument/2006/relationships/hyperlink" Target="https://ym.fi/suomen-muovitiekartta" TargetMode="External"/><Relationship Id="rId3" Type="http://schemas.openxmlformats.org/officeDocument/2006/relationships/hyperlink" Target="http://www.ym.fi/kiertotalousohjelma" TargetMode="External"/><Relationship Id="rId7" Type="http://schemas.openxmlformats.org/officeDocument/2006/relationships/hyperlink" Target="https://tfprod.businessfinland.fi/suomalaisille-asiakkaille/palvelut/ohjelmat/paattyneet-ohjelmat/bio-and-circular-finland" TargetMode="External"/><Relationship Id="rId12" Type="http://schemas.openxmlformats.org/officeDocument/2006/relationships/hyperlink" Target="https://tem.fi/-/kiertotalouden-oppeja-hiotaan-kaivannaistoiminnan-kayttoon" TargetMode="External"/><Relationship Id="rId2" Type="http://schemas.openxmlformats.org/officeDocument/2006/relationships/hyperlink" Target="https://www.stat.fi/tietotrendit/artikkelit/2022/kiertotalous-edistyy-suomessa-hitaasti-merkittavimmat-askeleet-kohti-asetettuja-tavoitteita-ovat-viela-ottamatta/" TargetMode="External"/><Relationship Id="rId1" Type="http://schemas.openxmlformats.org/officeDocument/2006/relationships/hyperlink" Target="https://www.sitra.fi/julkaisut/kestavaa-kasvua-kiertotalouden-liiketoimintamalleista/" TargetMode="External"/><Relationship Id="rId6" Type="http://schemas.openxmlformats.org/officeDocument/2006/relationships/hyperlink" Target="https://circulardesignsuomi.kiertotaloussuomi.fi/" TargetMode="External"/><Relationship Id="rId11" Type="http://schemas.openxmlformats.org/officeDocument/2006/relationships/hyperlink" Target="https://ym.fi/kiertotalouden-green-deal" TargetMode="External"/><Relationship Id="rId5" Type="http://schemas.openxmlformats.org/officeDocument/2006/relationships/hyperlink" Target="https://kiertotaloussuomi.fi/" TargetMode="External"/><Relationship Id="rId15" Type="http://schemas.openxmlformats.org/officeDocument/2006/relationships/hyperlink" Target="https://clc.fi/fi/2023/02/14/vihrea-siirtyma-on-suomelle-jopa-sadan-miljardin-euron-vientimahdollisuus/" TargetMode="External"/><Relationship Id="rId10" Type="http://schemas.openxmlformats.org/officeDocument/2006/relationships/hyperlink" Target="https://julkaisut.valtioneuvosto.fi/handle/10024/164478" TargetMode="External"/><Relationship Id="rId4" Type="http://schemas.openxmlformats.org/officeDocument/2006/relationships/hyperlink" Target="https://ym.fi/kiertotalouden-green-deal" TargetMode="External"/><Relationship Id="rId9" Type="http://schemas.openxmlformats.org/officeDocument/2006/relationships/hyperlink" Target="https://tem.fi/kestavan-kasvun-ohjelman-yritysrahoitushaut" TargetMode="External"/><Relationship Id="rId14" Type="http://schemas.openxmlformats.org/officeDocument/2006/relationships/hyperlink" Target="https://ym.fi/valtakunnallinen-jatesuunnitelma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juho.korpi@gov.fi" TargetMode="External"/><Relationship Id="rId1" Type="http://schemas.openxmlformats.org/officeDocument/2006/relationships/hyperlink" Target="mailto:leena.yla-mononen@gov.fi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mpusOrganizationTaxHTField0 xmlns="c138b538-c2fd-4cca-8c26-6e4e32e5a042">
      <Terms xmlns="http://schemas.microsoft.com/office/infopath/2007/PartnerControls"/>
    </KampusOrganizationTaxHTField0>
    <KampusKeywordsTaxHTField0 xmlns="c138b538-c2fd-4cca-8c26-6e4e32e5a042">
      <Terms xmlns="http://schemas.microsoft.com/office/infopath/2007/PartnerControls"/>
    </KampusKeywordsTaxHTField0>
    <TaxCatchAll xmlns="c138b538-c2fd-4cca-8c26-6e4e32e5a042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cce3c4a-091f-4b07-a6c7-e4a083e8073a" ContentTypeId="0x010100B5FAB64B6C204DD994D3FAC0C34E2BFF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Kampus asiakirja" ma:contentTypeID="0x010100B5FAB64B6C204DD994D3FAC0C34E2BFF0071753630C89EC748A1F79D72DEE31812" ma:contentTypeVersion="3" ma:contentTypeDescription="Kampus asiakirja" ma:contentTypeScope="" ma:versionID="71fb8e66d2c0a4b8b835fe556092cbb6">
  <xsd:schema xmlns:xsd="http://www.w3.org/2001/XMLSchema" xmlns:xs="http://www.w3.org/2001/XMLSchema" xmlns:p="http://schemas.microsoft.com/office/2006/metadata/properties" xmlns:ns2="c138b538-c2fd-4cca-8c26-6e4e32e5a042" targetNamespace="http://schemas.microsoft.com/office/2006/metadata/properties" ma:root="true" ma:fieldsID="401e97d2a8dfbcae4834b656d86c3eef" ns2:_="">
    <xsd:import namespace="c138b538-c2fd-4cca-8c26-6e4e32e5a042"/>
    <xsd:element name="properties">
      <xsd:complexType>
        <xsd:sequence>
          <xsd:element name="documentManagement">
            <xsd:complexType>
              <xsd:all>
                <xsd:element ref="ns2:KampusOrganizationTaxHTField0" minOccurs="0"/>
                <xsd:element ref="ns2:KampusKeywordsTaxHTField0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38b538-c2fd-4cca-8c26-6e4e32e5a042" elementFormDefault="qualified">
    <xsd:import namespace="http://schemas.microsoft.com/office/2006/documentManagement/types"/>
    <xsd:import namespace="http://schemas.microsoft.com/office/infopath/2007/PartnerControls"/>
    <xsd:element name="KampusOrganizationTaxHTField0" ma:index="2" nillable="true" ma:taxonomy="true" ma:internalName="KampusOrganizationTaxHTField0" ma:taxonomyFieldName="KampusOrganization" ma:displayName="Organisaatio" ma:readOnly="false" ma:default="" ma:fieldId="{2db0ae7a-6cf0-4985-ba6a-e776373147cc}" ma:taxonomyMulti="true" ma:sspId="acce3c4a-091f-4b07-a6c7-e4a083e8073a" ma:termSetId="96581ae4-b9dd-471b-b644-43b1ab68b7d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mpusKeywordsTaxHTField0" ma:index="4" nillable="true" ma:taxonomy="true" ma:internalName="KampusKeywordsTaxHTField0" ma:taxonomyFieldName="KampusKeywords" ma:displayName="Asiasanat" ma:default="" ma:fieldId="{1b40a1dd-212b-4729-a26e-8a2bffa86a15}" ma:taxonomyMulti="true" ma:sspId="acce3c4a-091f-4b07-a6c7-e4a083e8073a" ma:termSetId="c57e3b40-808e-4864-abb2-3453a6c26e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3798812a-8f7f-4bd8-83fe-dfb0e1a2689d}" ma:internalName="TaxCatchAll" ma:showField="CatchAllData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3798812a-8f7f-4bd8-83fe-dfb0e1a2689d}" ma:internalName="TaxCatchAllLabel" ma:readOnly="true" ma:showField="CatchAllDataLabel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ältölaji"/>
        <xsd:element ref="dc:title" minOccurs="0" maxOccurs="1" ma:index="0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4588E-B1EE-4C3B-8433-066FF78586AE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c138b538-c2fd-4cca-8c26-6e4e32e5a04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A49DCCE-682D-4857-AE11-8AA5FFC264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DFB6D0-C857-4E7C-B66E-6762A2E9EF6B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91BD60F6-AD80-4F32-9F4A-96504AB39F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38b538-c2fd-4cca-8c26-6e4e32e5a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BFD5FC6-2165-4D37-9A15-8D3500329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931</Words>
  <Characters>7545</Characters>
  <Application>Microsoft Office Word</Application>
  <DocSecurity>0</DocSecurity>
  <Lines>62</Lines>
  <Paragraphs>16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Suomen valtion</Company>
  <LinksUpToDate>false</LinksUpToDate>
  <CharactersWithSpaces>8460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Pajukallio Anna-Maija (YM)</dc:creator>
  <cp:keywords/>
  <dc:description/>
  <cp:lastModifiedBy>Muurman Jarmo (YM)</cp:lastModifiedBy>
  <cp:revision>3</cp:revision>
  <dcterms:created xsi:type="dcterms:W3CDTF">2023-03-27T05:48:00Z</dcterms:created>
  <dcterms:modified xsi:type="dcterms:W3CDTF">2023-04-12T05:48:00Z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0x010100B5FAB64B6C204DD994D3FAC0C34E2BFF0071753630C89EC748A1F79D72DEE31812</vt:lpwstr>
  </property>
  <property fmtid="{D5CDD505-2E9C-101B-9397-08002B2CF9AE}" pid="3" name="KampusKeywords">
    <vt:lpwstr/>
  </property>
  <property fmtid="{D5CDD505-2E9C-101B-9397-08002B2CF9AE}" pid="4" name="KampusOrganization">
    <vt:lpwstr/>
  </property>
</Properties>
</file>